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theme/themeOverride5.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line="560" w:lineRule="exact"/>
        <w:jc w:val="center"/>
        <w:rPr>
          <w:rStyle w:val="7"/>
          <w:rFonts w:ascii="方正公文小标宋" w:hAnsi="方正公文小标宋" w:eastAsia="方正公文小标宋"/>
          <w:b w:val="0"/>
          <w:color w:val="000000"/>
          <w:sz w:val="44"/>
          <w:szCs w:val="44"/>
        </w:rPr>
      </w:pPr>
    </w:p>
    <w:p>
      <w:pPr>
        <w:pStyle w:val="4"/>
        <w:shd w:val="clear" w:color="auto" w:fill="FFFFFF"/>
        <w:spacing w:line="560" w:lineRule="exact"/>
        <w:jc w:val="center"/>
        <w:rPr>
          <w:rStyle w:val="7"/>
          <w:rFonts w:ascii="方正公文小标宋" w:hAnsi="方正公文小标宋" w:eastAsia="方正公文小标宋"/>
          <w:b w:val="0"/>
          <w:color w:val="000000"/>
          <w:sz w:val="44"/>
          <w:szCs w:val="44"/>
        </w:rPr>
      </w:pPr>
      <w:r>
        <w:rPr>
          <w:rStyle w:val="7"/>
          <w:rFonts w:hint="eastAsia" w:ascii="方正公文小标宋" w:hAnsi="方正公文小标宋" w:eastAsia="方正公文小标宋"/>
          <w:b w:val="0"/>
          <w:color w:val="000000"/>
          <w:sz w:val="44"/>
          <w:szCs w:val="44"/>
        </w:rPr>
        <w:t>国家中医药博物馆</w:t>
      </w:r>
    </w:p>
    <w:p>
      <w:pPr>
        <w:pStyle w:val="4"/>
        <w:shd w:val="clear" w:color="auto" w:fill="FFFFFF"/>
        <w:spacing w:line="560" w:lineRule="exact"/>
        <w:jc w:val="center"/>
        <w:rPr>
          <w:rStyle w:val="7"/>
          <w:rFonts w:ascii="方正公文小标宋" w:hAnsi="方正公文小标宋" w:eastAsia="方正公文小标宋"/>
          <w:b w:val="0"/>
          <w:color w:val="000000"/>
          <w:sz w:val="44"/>
          <w:szCs w:val="44"/>
        </w:rPr>
      </w:pPr>
      <w:r>
        <w:rPr>
          <w:rStyle w:val="7"/>
          <w:rFonts w:hint="eastAsia" w:ascii="方正公文小标宋" w:hAnsi="方正公文小标宋" w:eastAsia="方正公文小标宋"/>
          <w:b w:val="0"/>
          <w:color w:val="000000"/>
          <w:sz w:val="44"/>
          <w:szCs w:val="44"/>
        </w:rPr>
        <w:t>2024年部门决算公开报告</w:t>
      </w:r>
    </w:p>
    <w:p>
      <w:pPr>
        <w:pStyle w:val="4"/>
        <w:shd w:val="clear" w:color="auto" w:fill="FFFFFF"/>
        <w:spacing w:line="600" w:lineRule="exact"/>
        <w:jc w:val="center"/>
        <w:rPr>
          <w:rFonts w:ascii="微软雅黑" w:hAnsi="微软雅黑" w:eastAsia="微软雅黑"/>
          <w:b/>
          <w:color w:val="000000"/>
          <w:sz w:val="32"/>
          <w:szCs w:val="32"/>
        </w:rPr>
      </w:pPr>
      <w:r>
        <w:rPr>
          <w:rStyle w:val="7"/>
          <w:rFonts w:hint="eastAsia" w:ascii="黑体" w:hAnsi="黑体" w:eastAsia="黑体"/>
          <w:b w:val="0"/>
          <w:color w:val="000000"/>
          <w:sz w:val="32"/>
          <w:szCs w:val="32"/>
        </w:rPr>
        <w:t>目 录</w:t>
      </w:r>
    </w:p>
    <w:p>
      <w:pPr>
        <w:pStyle w:val="4"/>
        <w:shd w:val="clear" w:color="auto" w:fill="FFFFFF"/>
        <w:spacing w:before="0" w:beforeAutospacing="0" w:after="0" w:afterAutospacing="0" w:line="600" w:lineRule="exact"/>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sz w:val="27"/>
          <w:szCs w:val="27"/>
        </w:rPr>
        <w:t>　</w:t>
      </w:r>
      <w:r>
        <w:rPr>
          <w:rFonts w:hint="eastAsia" w:ascii="仿宋_GB2312" w:hAnsi="黑体" w:eastAsia="仿宋_GB2312"/>
          <w:color w:val="000000"/>
          <w:sz w:val="32"/>
          <w:szCs w:val="32"/>
        </w:rPr>
        <w:t>　</w:t>
      </w:r>
      <w:r>
        <w:rPr>
          <w:rFonts w:hint="eastAsia" w:ascii="黑体" w:hAnsi="黑体" w:eastAsia="黑体"/>
          <w:color w:val="000000" w:themeColor="text1"/>
          <w:sz w:val="32"/>
          <w:szCs w:val="32"/>
          <w14:textFill>
            <w14:solidFill>
              <w14:schemeClr w14:val="tx1"/>
            </w14:solidFill>
          </w14:textFill>
        </w:rPr>
        <w:t>第一部分 国家中医药博物馆概况</w:t>
      </w:r>
    </w:p>
    <w:p>
      <w:pPr>
        <w:pStyle w:val="4"/>
        <w:numPr>
          <w:ilvl w:val="0"/>
          <w:numId w:val="1"/>
        </w:numPr>
        <w:shd w:val="clear" w:color="auto" w:fill="FFFFFF"/>
        <w:spacing w:before="0" w:beforeAutospacing="0" w:after="0" w:afterAutospacing="0" w:line="600" w:lineRule="exact"/>
        <w:rPr>
          <w:rFonts w:ascii="仿宋_GB2312" w:hAnsi="楷体" w:eastAsia="仿宋_GB2312"/>
          <w:color w:val="000000"/>
          <w:sz w:val="32"/>
          <w:szCs w:val="32"/>
        </w:rPr>
      </w:pPr>
      <w:r>
        <w:rPr>
          <w:rFonts w:hint="eastAsia" w:ascii="仿宋_GB2312" w:hAnsi="楷体" w:eastAsia="仿宋_GB2312"/>
          <w:color w:val="000000"/>
          <w:sz w:val="32"/>
          <w:szCs w:val="32"/>
        </w:rPr>
        <w:t>主要职责</w:t>
      </w:r>
    </w:p>
    <w:p>
      <w:pPr>
        <w:pStyle w:val="4"/>
        <w:shd w:val="clear" w:color="auto" w:fill="FFFFFF"/>
        <w:spacing w:before="0" w:beforeAutospacing="0" w:after="0" w:afterAutospacing="0" w:line="600" w:lineRule="exact"/>
        <w:ind w:left="645"/>
        <w:rPr>
          <w:rFonts w:ascii="仿宋_GB2312" w:hAnsi="微软雅黑" w:eastAsia="仿宋_GB2312"/>
          <w:color w:val="000000"/>
          <w:sz w:val="32"/>
          <w:szCs w:val="32"/>
        </w:rPr>
      </w:pPr>
      <w:r>
        <w:rPr>
          <w:rFonts w:hint="eastAsia" w:ascii="仿宋_GB2312" w:hAnsi="楷体" w:eastAsia="仿宋_GB2312"/>
          <w:color w:val="000000"/>
          <w:sz w:val="32"/>
          <w:szCs w:val="32"/>
        </w:rPr>
        <w:t>二、内设机构</w:t>
      </w:r>
    </w:p>
    <w:p>
      <w:pPr>
        <w:pStyle w:val="4"/>
        <w:shd w:val="clear" w:color="auto" w:fill="FFFFFF"/>
        <w:spacing w:before="0" w:beforeAutospacing="0" w:after="0" w:afterAutospacing="0" w:line="600" w:lineRule="exact"/>
        <w:rPr>
          <w:rFonts w:ascii="黑体" w:hAnsi="黑体" w:eastAsia="黑体"/>
          <w:color w:val="000000"/>
          <w:sz w:val="32"/>
          <w:szCs w:val="32"/>
        </w:rPr>
      </w:pPr>
      <w:r>
        <w:rPr>
          <w:rFonts w:hint="eastAsia" w:ascii="黑体" w:hAnsi="黑体" w:eastAsia="黑体"/>
          <w:color w:val="000000"/>
          <w:sz w:val="27"/>
          <w:szCs w:val="27"/>
        </w:rPr>
        <w:t>　</w:t>
      </w:r>
      <w:r>
        <w:rPr>
          <w:rFonts w:hint="eastAsia" w:ascii="黑体" w:hAnsi="黑体" w:eastAsia="黑体"/>
          <w:color w:val="000000"/>
          <w:sz w:val="32"/>
          <w:szCs w:val="32"/>
        </w:rPr>
        <w:t>　第二部分 2024年度部门决算表</w:t>
      </w:r>
    </w:p>
    <w:p>
      <w:pPr>
        <w:pStyle w:val="4"/>
        <w:shd w:val="clear" w:color="auto" w:fill="FFFFFF"/>
        <w:spacing w:before="0" w:beforeAutospacing="0" w:after="0" w:afterAutospacing="0" w:line="600" w:lineRule="exact"/>
        <w:jc w:val="both"/>
        <w:rPr>
          <w:rFonts w:ascii="仿宋_GB2312" w:hAnsi="微软雅黑" w:eastAsia="仿宋_GB2312"/>
          <w:color w:val="000000"/>
          <w:sz w:val="32"/>
          <w:szCs w:val="32"/>
        </w:rPr>
      </w:pPr>
      <w:r>
        <w:rPr>
          <w:rFonts w:hint="eastAsia" w:ascii="仿宋_GB2312" w:hAnsi="微软雅黑" w:eastAsia="仿宋_GB2312"/>
          <w:color w:val="000000"/>
          <w:sz w:val="32"/>
          <w:szCs w:val="32"/>
        </w:rPr>
        <w:t>　　一、收入支出决算总表</w:t>
      </w:r>
    </w:p>
    <w:p>
      <w:pPr>
        <w:pStyle w:val="4"/>
        <w:shd w:val="clear" w:color="auto" w:fill="FFFFFF"/>
        <w:spacing w:before="0" w:beforeAutospacing="0" w:after="0" w:afterAutospacing="0" w:line="600" w:lineRule="exact"/>
        <w:rPr>
          <w:rFonts w:ascii="仿宋_GB2312" w:hAnsi="微软雅黑" w:eastAsia="仿宋_GB2312"/>
          <w:color w:val="000000"/>
          <w:sz w:val="32"/>
          <w:szCs w:val="32"/>
        </w:rPr>
      </w:pPr>
      <w:r>
        <w:rPr>
          <w:rFonts w:hint="eastAsia" w:ascii="仿宋_GB2312" w:hAnsi="微软雅黑" w:eastAsia="仿宋_GB2312"/>
          <w:color w:val="000000"/>
          <w:sz w:val="32"/>
          <w:szCs w:val="32"/>
        </w:rPr>
        <w:t>　　二、收入决算表</w:t>
      </w:r>
    </w:p>
    <w:p>
      <w:pPr>
        <w:pStyle w:val="4"/>
        <w:shd w:val="clear" w:color="auto" w:fill="FFFFFF"/>
        <w:spacing w:before="0" w:beforeAutospacing="0" w:after="0" w:afterAutospacing="0" w:line="600" w:lineRule="exact"/>
        <w:rPr>
          <w:rFonts w:ascii="仿宋_GB2312" w:hAnsi="微软雅黑" w:eastAsia="仿宋_GB2312"/>
          <w:color w:val="000000"/>
          <w:sz w:val="32"/>
          <w:szCs w:val="32"/>
        </w:rPr>
      </w:pPr>
      <w:r>
        <w:rPr>
          <w:rFonts w:hint="eastAsia" w:ascii="仿宋_GB2312" w:hAnsi="微软雅黑" w:eastAsia="仿宋_GB2312"/>
          <w:color w:val="000000"/>
          <w:sz w:val="32"/>
          <w:szCs w:val="32"/>
        </w:rPr>
        <w:t>　　三、支出决算表</w:t>
      </w:r>
    </w:p>
    <w:p>
      <w:pPr>
        <w:pStyle w:val="4"/>
        <w:shd w:val="clear" w:color="auto" w:fill="FFFFFF"/>
        <w:spacing w:before="0" w:beforeAutospacing="0" w:after="0" w:afterAutospacing="0" w:line="600" w:lineRule="exact"/>
        <w:rPr>
          <w:rFonts w:ascii="仿宋_GB2312" w:hAnsi="微软雅黑" w:eastAsia="仿宋_GB2312"/>
          <w:color w:val="000000"/>
          <w:sz w:val="32"/>
          <w:szCs w:val="32"/>
        </w:rPr>
      </w:pPr>
      <w:r>
        <w:rPr>
          <w:rFonts w:hint="eastAsia" w:ascii="仿宋_GB2312" w:hAnsi="微软雅黑" w:eastAsia="仿宋_GB2312"/>
          <w:color w:val="000000"/>
          <w:sz w:val="32"/>
          <w:szCs w:val="32"/>
        </w:rPr>
        <w:t>　　四、财政拨款收入支出决算总表</w:t>
      </w:r>
    </w:p>
    <w:p>
      <w:pPr>
        <w:pStyle w:val="4"/>
        <w:shd w:val="clear" w:color="auto" w:fill="FFFFFF"/>
        <w:spacing w:before="0" w:beforeAutospacing="0" w:after="0" w:afterAutospacing="0" w:line="600" w:lineRule="exact"/>
        <w:rPr>
          <w:rFonts w:ascii="仿宋_GB2312" w:hAnsi="微软雅黑" w:eastAsia="仿宋_GB2312"/>
          <w:color w:val="000000"/>
          <w:sz w:val="32"/>
          <w:szCs w:val="32"/>
        </w:rPr>
      </w:pPr>
      <w:r>
        <w:rPr>
          <w:rFonts w:hint="eastAsia" w:ascii="仿宋_GB2312" w:hAnsi="微软雅黑" w:eastAsia="仿宋_GB2312"/>
          <w:color w:val="000000"/>
          <w:sz w:val="32"/>
          <w:szCs w:val="32"/>
        </w:rPr>
        <w:t>　　五、一般公共预算财政拨款支出决算表</w:t>
      </w:r>
    </w:p>
    <w:p>
      <w:pPr>
        <w:pStyle w:val="4"/>
        <w:shd w:val="clear" w:color="auto" w:fill="FFFFFF"/>
        <w:spacing w:before="0" w:beforeAutospacing="0" w:after="0" w:afterAutospacing="0" w:line="600" w:lineRule="exact"/>
        <w:rPr>
          <w:rFonts w:ascii="仿宋_GB2312" w:hAnsi="微软雅黑" w:eastAsia="仿宋_GB2312"/>
          <w:color w:val="000000"/>
          <w:sz w:val="32"/>
          <w:szCs w:val="32"/>
        </w:rPr>
      </w:pPr>
      <w:r>
        <w:rPr>
          <w:rFonts w:hint="eastAsia" w:ascii="仿宋_GB2312" w:hAnsi="微软雅黑" w:eastAsia="仿宋_GB2312"/>
          <w:color w:val="000000"/>
          <w:sz w:val="32"/>
          <w:szCs w:val="32"/>
        </w:rPr>
        <w:t>　　六、一般公共预算财政拨款基本支出决算明细表</w:t>
      </w:r>
    </w:p>
    <w:p>
      <w:pPr>
        <w:pStyle w:val="4"/>
        <w:shd w:val="clear" w:color="auto" w:fill="FFFFFF"/>
        <w:spacing w:before="0" w:beforeAutospacing="0" w:after="0" w:afterAutospacing="0" w:line="600" w:lineRule="exact"/>
        <w:ind w:firstLine="645"/>
        <w:rPr>
          <w:rFonts w:ascii="仿宋_GB2312" w:hAnsi="微软雅黑" w:eastAsia="仿宋_GB2312"/>
          <w:color w:val="000000"/>
          <w:sz w:val="32"/>
          <w:szCs w:val="32"/>
        </w:rPr>
      </w:pPr>
      <w:r>
        <w:rPr>
          <w:rFonts w:hint="eastAsia" w:ascii="仿宋_GB2312" w:hAnsi="微软雅黑" w:eastAsia="仿宋_GB2312"/>
          <w:color w:val="000000"/>
          <w:sz w:val="32"/>
          <w:szCs w:val="32"/>
        </w:rPr>
        <w:t>七、政府性基金预算财政拨款收入支出决算表</w:t>
      </w:r>
    </w:p>
    <w:p>
      <w:pPr>
        <w:pStyle w:val="4"/>
        <w:shd w:val="clear" w:color="auto" w:fill="FFFFFF"/>
        <w:spacing w:before="0" w:beforeAutospacing="0" w:after="0" w:afterAutospacing="0" w:line="600" w:lineRule="exact"/>
        <w:ind w:firstLine="640"/>
        <w:rPr>
          <w:rFonts w:ascii="仿宋_GB2312" w:hAnsi="微软雅黑" w:eastAsia="仿宋_GB2312"/>
          <w:color w:val="000000"/>
          <w:sz w:val="32"/>
          <w:szCs w:val="32"/>
        </w:rPr>
      </w:pPr>
      <w:r>
        <w:rPr>
          <w:rFonts w:hint="eastAsia" w:ascii="仿宋_GB2312" w:hAnsi="微软雅黑" w:eastAsia="仿宋_GB2312"/>
          <w:color w:val="000000"/>
          <w:sz w:val="32"/>
          <w:szCs w:val="32"/>
        </w:rPr>
        <w:t>八、国有资本经营预算财政拨款支出决算表</w:t>
      </w:r>
    </w:p>
    <w:p>
      <w:pPr>
        <w:pStyle w:val="4"/>
        <w:shd w:val="clear" w:color="auto" w:fill="FFFFFF"/>
        <w:spacing w:before="0" w:beforeAutospacing="0" w:after="0" w:afterAutospacing="0" w:line="600" w:lineRule="exact"/>
        <w:ind w:firstLine="640"/>
        <w:rPr>
          <w:rFonts w:ascii="仿宋_GB2312" w:hAnsi="微软雅黑" w:eastAsia="仿宋_GB2312"/>
          <w:color w:val="000000"/>
          <w:sz w:val="32"/>
          <w:szCs w:val="32"/>
        </w:rPr>
      </w:pPr>
      <w:r>
        <w:rPr>
          <w:rFonts w:hint="eastAsia" w:ascii="仿宋_GB2312" w:hAnsi="微软雅黑" w:eastAsia="仿宋_GB2312"/>
          <w:color w:val="000000"/>
          <w:sz w:val="32"/>
          <w:szCs w:val="32"/>
        </w:rPr>
        <w:t>九、财政拨款“三公经费”支出决算表</w:t>
      </w:r>
    </w:p>
    <w:p>
      <w:pPr>
        <w:pStyle w:val="4"/>
        <w:shd w:val="clear" w:color="auto" w:fill="FFFFFF"/>
        <w:spacing w:before="0" w:beforeAutospacing="0" w:after="0" w:afterAutospacing="0" w:line="600" w:lineRule="exact"/>
        <w:rPr>
          <w:rFonts w:ascii="黑体" w:hAnsi="黑体" w:eastAsia="黑体"/>
          <w:color w:val="000000"/>
          <w:sz w:val="32"/>
          <w:szCs w:val="32"/>
        </w:rPr>
      </w:pPr>
      <w:r>
        <w:rPr>
          <w:rFonts w:hint="eastAsia" w:ascii="黑体" w:hAnsi="黑体" w:eastAsia="黑体"/>
          <w:color w:val="000000"/>
          <w:sz w:val="27"/>
          <w:szCs w:val="27"/>
        </w:rPr>
        <w:t>　　</w:t>
      </w:r>
      <w:r>
        <w:rPr>
          <w:rFonts w:hint="eastAsia" w:ascii="黑体" w:hAnsi="黑体" w:eastAsia="黑体"/>
          <w:color w:val="000000"/>
          <w:sz w:val="32"/>
          <w:szCs w:val="32"/>
        </w:rPr>
        <w:t>第三部分 2024年度部门决算情况说明</w:t>
      </w:r>
    </w:p>
    <w:p>
      <w:pPr>
        <w:pStyle w:val="4"/>
        <w:shd w:val="clear" w:color="auto" w:fill="FFFFFF"/>
        <w:spacing w:before="0" w:beforeAutospacing="0" w:after="0" w:afterAutospacing="0" w:line="600" w:lineRule="exact"/>
        <w:ind w:firstLine="566" w:firstLineChars="177"/>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第四部分 名词解释</w:t>
      </w:r>
    </w:p>
    <w:p>
      <w:pPr>
        <w:pStyle w:val="4"/>
        <w:shd w:val="clear" w:color="auto" w:fill="FFFFFF"/>
        <w:spacing w:before="0" w:beforeAutospacing="0" w:after="0" w:afterAutospacing="0" w:line="600" w:lineRule="exact"/>
        <w:ind w:firstLine="566" w:firstLineChars="177"/>
        <w:rPr>
          <w:rFonts w:ascii="黑体" w:hAnsi="黑体" w:eastAsia="黑体"/>
          <w:color w:val="000000" w:themeColor="text1"/>
          <w:sz w:val="32"/>
          <w:szCs w:val="32"/>
          <w14:textFill>
            <w14:solidFill>
              <w14:schemeClr w14:val="tx1"/>
            </w14:solidFill>
          </w14:textFill>
        </w:rPr>
      </w:pPr>
    </w:p>
    <w:p>
      <w:pPr>
        <w:pStyle w:val="4"/>
        <w:shd w:val="clear" w:color="auto" w:fill="FFFFFF"/>
        <w:spacing w:before="0" w:beforeAutospacing="0" w:after="0" w:afterAutospacing="0" w:line="600" w:lineRule="exact"/>
        <w:rPr>
          <w:rFonts w:ascii="黑体" w:hAnsi="黑体" w:eastAsia="黑体"/>
          <w:color w:val="000000"/>
          <w:sz w:val="32"/>
          <w:szCs w:val="32"/>
        </w:rPr>
      </w:pPr>
    </w:p>
    <w:p>
      <w:pPr>
        <w:spacing w:line="600" w:lineRule="exact"/>
        <w:jc w:val="center"/>
        <w:rPr>
          <w:rFonts w:ascii="黑体" w:hAnsi="黑体" w:eastAsia="黑体"/>
          <w:bCs/>
          <w:sz w:val="32"/>
          <w:szCs w:val="32"/>
        </w:rPr>
      </w:pPr>
    </w:p>
    <w:p>
      <w:pPr>
        <w:spacing w:line="600" w:lineRule="exact"/>
        <w:jc w:val="center"/>
        <w:rPr>
          <w:rFonts w:ascii="黑体" w:hAnsi="黑体" w:eastAsia="黑体"/>
          <w:bCs/>
          <w:sz w:val="32"/>
          <w:szCs w:val="32"/>
        </w:rPr>
      </w:pPr>
      <w:r>
        <w:rPr>
          <w:rFonts w:hint="eastAsia" w:ascii="黑体" w:hAnsi="黑体" w:eastAsia="黑体"/>
          <w:bCs/>
          <w:sz w:val="32"/>
          <w:szCs w:val="32"/>
        </w:rPr>
        <w:t>第一部分 国家中医药博物馆概况</w:t>
      </w:r>
    </w:p>
    <w:p>
      <w:pPr>
        <w:spacing w:line="600" w:lineRule="exact"/>
        <w:rPr>
          <w:rFonts w:ascii="仿宋_GB2312" w:eastAsia="仿宋_GB2312"/>
          <w:sz w:val="32"/>
          <w:szCs w:val="32"/>
        </w:rPr>
      </w:pPr>
    </w:p>
    <w:p>
      <w:pPr>
        <w:spacing w:line="600" w:lineRule="exact"/>
        <w:ind w:firstLine="640" w:firstLineChars="200"/>
        <w:rPr>
          <w:rFonts w:ascii="黑体" w:hAnsi="黑体" w:eastAsia="黑体"/>
          <w:sz w:val="32"/>
          <w:szCs w:val="32"/>
        </w:rPr>
      </w:pPr>
      <w:r>
        <w:rPr>
          <w:rFonts w:hint="eastAsia" w:ascii="黑体" w:hAnsi="黑体" w:eastAsia="黑体"/>
          <w:bCs/>
          <w:sz w:val="32"/>
          <w:szCs w:val="32"/>
        </w:rPr>
        <w:t>一、主要职责</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国家中医药博物馆是国家中医药管理局直属的公益一类事业单位，主要职责如下：</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（一）负责中医药文物、藏品、见证物的收集、保护和研究等。</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（二）负责举办中医药陈列展览、巡回展览等展览工作。</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（三）组织开展中医药文物藏品、传统知识保护推广工作。</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（四）承担传承弘扬中医药文化，科学普及中医药健康知识，举办学术交流等活动。</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（五）组织开展中医药历史文化、古籍文献保护等研究，编辑整理文字、图片、音像资料等。</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（六）组织开展中医药健康教育、互动体验、文化创意、国际交流等活动。</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（七）承办国家中医药管理局交办的其他事项。</w:t>
      </w:r>
    </w:p>
    <w:p>
      <w:pPr>
        <w:spacing w:line="600" w:lineRule="exact"/>
        <w:ind w:firstLine="640" w:firstLineChars="200"/>
        <w:jc w:val="left"/>
        <w:rPr>
          <w:rFonts w:ascii="黑体" w:hAnsi="黑体" w:eastAsia="黑体"/>
          <w:bCs/>
          <w:sz w:val="32"/>
          <w:szCs w:val="32"/>
        </w:rPr>
      </w:pPr>
      <w:r>
        <w:rPr>
          <w:rFonts w:hint="eastAsia" w:ascii="黑体" w:hAnsi="黑体" w:eastAsia="黑体"/>
          <w:bCs/>
          <w:sz w:val="32"/>
          <w:szCs w:val="32"/>
        </w:rPr>
        <w:t>二、单位内设机构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（一）国家中医药博物馆设10个内设机构（正处级），分别是：党政办公室、人事处、财务审计处、行政基建处、藏品管理部、展览策划部、研究部、文创事业部、社会教育部、信息数据部。</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（二）国家中医药博物馆财政补助事业编制55名。其中，领导班子职数1正3副（含党组织领导职数1名）；内设机构正副职领导职数23名。</w:t>
      </w:r>
    </w:p>
    <w:p>
      <w:pPr>
        <w:pStyle w:val="4"/>
        <w:shd w:val="clear" w:color="auto" w:fill="FFFFFF"/>
        <w:spacing w:before="0" w:beforeAutospacing="0" w:after="0" w:afterAutospacing="0" w:line="600" w:lineRule="exact"/>
        <w:ind w:firstLine="480"/>
        <w:rPr>
          <w:rFonts w:ascii="微软雅黑" w:hAnsi="微软雅黑" w:eastAsia="微软雅黑"/>
          <w:color w:val="000000"/>
          <w:sz w:val="21"/>
          <w:szCs w:val="21"/>
        </w:rPr>
      </w:pPr>
    </w:p>
    <w:p>
      <w:pPr>
        <w:pStyle w:val="4"/>
        <w:shd w:val="clear" w:color="auto" w:fill="FFFFFF"/>
        <w:spacing w:before="0" w:beforeAutospacing="0" w:after="0" w:afterAutospacing="0" w:line="600" w:lineRule="exact"/>
        <w:jc w:val="center"/>
        <w:rPr>
          <w:rFonts w:ascii="黑体" w:hAnsi="黑体" w:eastAsia="黑体"/>
          <w:color w:val="000000"/>
          <w:sz w:val="32"/>
          <w:szCs w:val="32"/>
        </w:rPr>
      </w:pPr>
      <w:r>
        <w:rPr>
          <w:rFonts w:hint="eastAsia" w:ascii="黑体" w:hAnsi="黑体" w:eastAsia="黑体"/>
          <w:color w:val="000000"/>
          <w:sz w:val="32"/>
          <w:szCs w:val="32"/>
        </w:rPr>
        <w:t>第二部分 2024年度部门决算表</w:t>
      </w:r>
    </w:p>
    <w:p>
      <w:pPr>
        <w:pStyle w:val="4"/>
        <w:shd w:val="clear" w:color="auto" w:fill="FFFFFF"/>
        <w:spacing w:before="0" w:beforeAutospacing="0" w:after="0" w:afterAutospacing="0" w:line="600" w:lineRule="exact"/>
        <w:jc w:val="center"/>
        <w:rPr>
          <w:rFonts w:ascii="微软雅黑" w:hAnsi="微软雅黑" w:eastAsia="微软雅黑"/>
          <w:color w:val="000000"/>
          <w:sz w:val="32"/>
          <w:szCs w:val="32"/>
        </w:rPr>
      </w:pPr>
    </w:p>
    <w:p>
      <w:pPr>
        <w:pStyle w:val="4"/>
        <w:shd w:val="clear" w:color="auto" w:fill="FFFFFF"/>
        <w:spacing w:before="0" w:beforeAutospacing="0" w:after="0" w:afterAutospacing="0"/>
        <w:jc w:val="both"/>
        <w:rPr>
          <w:rFonts w:ascii="微软雅黑" w:hAnsi="微软雅黑" w:eastAsia="微软雅黑"/>
          <w:color w:val="000000"/>
          <w:sz w:val="21"/>
          <w:szCs w:val="21"/>
        </w:rPr>
      </w:pPr>
      <w:r>
        <w:drawing>
          <wp:inline distT="0" distB="0" distL="114300" distR="114300">
            <wp:extent cx="5266055" cy="3825240"/>
            <wp:effectExtent l="0" t="0" r="10795" b="381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stretch>
                      <a:fillRect/>
                    </a:stretch>
                  </pic:blipFill>
                  <pic:spPr>
                    <a:xfrm>
                      <a:off x="0" y="0"/>
                      <a:ext cx="5266055" cy="3825240"/>
                    </a:xfrm>
                    <a:prstGeom prst="rect">
                      <a:avLst/>
                    </a:prstGeom>
                    <a:noFill/>
                    <a:ln>
                      <a:noFill/>
                    </a:ln>
                  </pic:spPr>
                </pic:pic>
              </a:graphicData>
            </a:graphic>
          </wp:inline>
        </w:drawing>
      </w:r>
    </w:p>
    <w:p>
      <w:pPr>
        <w:pStyle w:val="4"/>
        <w:shd w:val="clear" w:color="auto" w:fill="FFFFFF"/>
        <w:spacing w:before="0" w:beforeAutospacing="0" w:after="0" w:afterAutospacing="0"/>
        <w:jc w:val="both"/>
        <w:rPr>
          <w:rFonts w:ascii="微软雅黑" w:hAnsi="微软雅黑" w:eastAsia="微软雅黑"/>
          <w:color w:val="000000"/>
          <w:sz w:val="21"/>
          <w:szCs w:val="21"/>
        </w:rPr>
      </w:pPr>
      <w:r>
        <w:drawing>
          <wp:inline distT="0" distB="0" distL="114300" distR="114300">
            <wp:extent cx="5267960" cy="1847850"/>
            <wp:effectExtent l="0" t="0" r="889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a:stretch>
                      <a:fillRect/>
                    </a:stretch>
                  </pic:blipFill>
                  <pic:spPr>
                    <a:xfrm>
                      <a:off x="0" y="0"/>
                      <a:ext cx="5267960" cy="1847850"/>
                    </a:xfrm>
                    <a:prstGeom prst="rect">
                      <a:avLst/>
                    </a:prstGeom>
                    <a:noFill/>
                    <a:ln>
                      <a:noFill/>
                    </a:ln>
                  </pic:spPr>
                </pic:pic>
              </a:graphicData>
            </a:graphic>
          </wp:inline>
        </w:drawing>
      </w:r>
    </w:p>
    <w:p>
      <w:pPr>
        <w:pStyle w:val="4"/>
        <w:shd w:val="clear" w:color="auto" w:fill="FFFFFF"/>
        <w:spacing w:before="0" w:beforeAutospacing="0" w:after="0" w:afterAutospacing="0"/>
        <w:jc w:val="both"/>
        <w:rPr>
          <w:rFonts w:ascii="微软雅黑" w:hAnsi="微软雅黑" w:eastAsia="微软雅黑"/>
          <w:color w:val="000000"/>
          <w:sz w:val="21"/>
          <w:szCs w:val="21"/>
        </w:rPr>
      </w:pPr>
      <w:r>
        <w:drawing>
          <wp:inline distT="0" distB="0" distL="114300" distR="114300">
            <wp:extent cx="5269865" cy="1752600"/>
            <wp:effectExtent l="0" t="0" r="6985"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7"/>
                    <a:stretch>
                      <a:fillRect/>
                    </a:stretch>
                  </pic:blipFill>
                  <pic:spPr>
                    <a:xfrm>
                      <a:off x="0" y="0"/>
                      <a:ext cx="5269865" cy="1752600"/>
                    </a:xfrm>
                    <a:prstGeom prst="rect">
                      <a:avLst/>
                    </a:prstGeom>
                    <a:noFill/>
                    <a:ln>
                      <a:noFill/>
                    </a:ln>
                  </pic:spPr>
                </pic:pic>
              </a:graphicData>
            </a:graphic>
          </wp:inline>
        </w:drawing>
      </w:r>
    </w:p>
    <w:p>
      <w:pPr>
        <w:pStyle w:val="4"/>
        <w:shd w:val="clear" w:color="auto" w:fill="FFFFFF"/>
        <w:spacing w:before="0" w:beforeAutospacing="0" w:after="0" w:afterAutospacing="0"/>
        <w:jc w:val="both"/>
        <w:rPr>
          <w:rFonts w:ascii="微软雅黑" w:hAnsi="微软雅黑" w:eastAsia="微软雅黑"/>
          <w:color w:val="000000"/>
          <w:sz w:val="21"/>
          <w:szCs w:val="21"/>
        </w:rPr>
      </w:pPr>
      <w:r>
        <w:drawing>
          <wp:inline distT="0" distB="0" distL="114300" distR="114300">
            <wp:extent cx="5262245" cy="3127375"/>
            <wp:effectExtent l="0" t="0" r="14605" b="15875"/>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pic:cNvPicPr>
                  </pic:nvPicPr>
                  <pic:blipFill>
                    <a:blip r:embed="rId8"/>
                    <a:stretch>
                      <a:fillRect/>
                    </a:stretch>
                  </pic:blipFill>
                  <pic:spPr>
                    <a:xfrm>
                      <a:off x="0" y="0"/>
                      <a:ext cx="5262245" cy="3127375"/>
                    </a:xfrm>
                    <a:prstGeom prst="rect">
                      <a:avLst/>
                    </a:prstGeom>
                    <a:noFill/>
                    <a:ln>
                      <a:noFill/>
                    </a:ln>
                  </pic:spPr>
                </pic:pic>
              </a:graphicData>
            </a:graphic>
          </wp:inline>
        </w:drawing>
      </w:r>
    </w:p>
    <w:p>
      <w:pPr>
        <w:pStyle w:val="4"/>
        <w:shd w:val="clear" w:color="auto" w:fill="FFFFFF"/>
        <w:spacing w:before="0" w:beforeAutospacing="0" w:after="0" w:afterAutospacing="0"/>
        <w:jc w:val="both"/>
        <w:rPr>
          <w:rFonts w:ascii="微软雅黑" w:hAnsi="微软雅黑" w:eastAsia="微软雅黑"/>
          <w:color w:val="000000"/>
          <w:sz w:val="21"/>
          <w:szCs w:val="21"/>
        </w:rPr>
      </w:pPr>
      <w:r>
        <w:drawing>
          <wp:inline distT="0" distB="0" distL="114300" distR="114300">
            <wp:extent cx="5266690" cy="2177415"/>
            <wp:effectExtent l="0" t="0" r="10160" b="1333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9"/>
                    <a:stretch>
                      <a:fillRect/>
                    </a:stretch>
                  </pic:blipFill>
                  <pic:spPr>
                    <a:xfrm>
                      <a:off x="0" y="0"/>
                      <a:ext cx="5266690" cy="2177415"/>
                    </a:xfrm>
                    <a:prstGeom prst="rect">
                      <a:avLst/>
                    </a:prstGeom>
                    <a:noFill/>
                    <a:ln>
                      <a:noFill/>
                    </a:ln>
                  </pic:spPr>
                </pic:pic>
              </a:graphicData>
            </a:graphic>
          </wp:inline>
        </w:drawing>
      </w:r>
    </w:p>
    <w:p>
      <w:pPr>
        <w:pStyle w:val="4"/>
        <w:shd w:val="clear" w:color="auto" w:fill="FFFFFF"/>
        <w:spacing w:before="0" w:beforeAutospacing="0" w:after="0" w:afterAutospacing="0"/>
        <w:jc w:val="both"/>
        <w:rPr>
          <w:rFonts w:ascii="微软雅黑" w:hAnsi="微软雅黑" w:eastAsia="微软雅黑"/>
          <w:color w:val="000000"/>
          <w:sz w:val="21"/>
          <w:szCs w:val="21"/>
        </w:rPr>
      </w:pPr>
      <w:r>
        <w:drawing>
          <wp:inline distT="0" distB="0" distL="114300" distR="114300">
            <wp:extent cx="5266690" cy="2562860"/>
            <wp:effectExtent l="0" t="0" r="10160" b="889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pic:cNvPicPr>
                      <a:picLocks noChangeAspect="1"/>
                    </pic:cNvPicPr>
                  </pic:nvPicPr>
                  <pic:blipFill>
                    <a:blip r:embed="rId10"/>
                    <a:stretch>
                      <a:fillRect/>
                    </a:stretch>
                  </pic:blipFill>
                  <pic:spPr>
                    <a:xfrm>
                      <a:off x="0" y="0"/>
                      <a:ext cx="5266690" cy="2562860"/>
                    </a:xfrm>
                    <a:prstGeom prst="rect">
                      <a:avLst/>
                    </a:prstGeom>
                    <a:noFill/>
                    <a:ln>
                      <a:noFill/>
                    </a:ln>
                  </pic:spPr>
                </pic:pic>
              </a:graphicData>
            </a:graphic>
          </wp:inline>
        </w:drawing>
      </w:r>
    </w:p>
    <w:p>
      <w:pPr>
        <w:pStyle w:val="4"/>
        <w:shd w:val="clear" w:color="auto" w:fill="FFFFFF"/>
        <w:spacing w:before="0" w:beforeAutospacing="0" w:after="0" w:afterAutospacing="0"/>
        <w:jc w:val="both"/>
        <w:rPr>
          <w:rFonts w:ascii="微软雅黑" w:hAnsi="微软雅黑" w:eastAsia="微软雅黑"/>
          <w:color w:val="000000"/>
          <w:sz w:val="21"/>
          <w:szCs w:val="21"/>
        </w:rPr>
      </w:pPr>
      <w:r>
        <w:drawing>
          <wp:inline distT="0" distB="0" distL="114300" distR="114300">
            <wp:extent cx="5265420" cy="1003300"/>
            <wp:effectExtent l="0" t="0" r="11430" b="635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pic:cNvPicPr>
                      <a:picLocks noChangeAspect="1"/>
                    </pic:cNvPicPr>
                  </pic:nvPicPr>
                  <pic:blipFill>
                    <a:blip r:embed="rId11"/>
                    <a:stretch>
                      <a:fillRect/>
                    </a:stretch>
                  </pic:blipFill>
                  <pic:spPr>
                    <a:xfrm>
                      <a:off x="0" y="0"/>
                      <a:ext cx="5265420" cy="1003300"/>
                    </a:xfrm>
                    <a:prstGeom prst="rect">
                      <a:avLst/>
                    </a:prstGeom>
                    <a:noFill/>
                    <a:ln>
                      <a:noFill/>
                    </a:ln>
                  </pic:spPr>
                </pic:pic>
              </a:graphicData>
            </a:graphic>
          </wp:inline>
        </w:drawing>
      </w:r>
    </w:p>
    <w:p>
      <w:pPr>
        <w:pStyle w:val="4"/>
        <w:shd w:val="clear" w:color="auto" w:fill="FFFFFF"/>
        <w:spacing w:before="0" w:beforeAutospacing="0" w:after="0" w:afterAutospacing="0"/>
        <w:jc w:val="both"/>
        <w:rPr>
          <w:rFonts w:ascii="微软雅黑" w:hAnsi="微软雅黑" w:eastAsia="微软雅黑"/>
          <w:color w:val="000000"/>
          <w:sz w:val="21"/>
          <w:szCs w:val="21"/>
        </w:rPr>
      </w:pPr>
      <w:r>
        <w:drawing>
          <wp:inline distT="0" distB="0" distL="114300" distR="114300">
            <wp:extent cx="5273040" cy="1240155"/>
            <wp:effectExtent l="0" t="0" r="3810" b="1714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pic:cNvPicPr>
                      <a:picLocks noChangeAspect="1"/>
                    </pic:cNvPicPr>
                  </pic:nvPicPr>
                  <pic:blipFill>
                    <a:blip r:embed="rId12"/>
                    <a:stretch>
                      <a:fillRect/>
                    </a:stretch>
                  </pic:blipFill>
                  <pic:spPr>
                    <a:xfrm>
                      <a:off x="0" y="0"/>
                      <a:ext cx="5273040" cy="1240155"/>
                    </a:xfrm>
                    <a:prstGeom prst="rect">
                      <a:avLst/>
                    </a:prstGeom>
                    <a:noFill/>
                    <a:ln>
                      <a:noFill/>
                    </a:ln>
                  </pic:spPr>
                </pic:pic>
              </a:graphicData>
            </a:graphic>
          </wp:inline>
        </w:drawing>
      </w:r>
    </w:p>
    <w:p>
      <w:pPr>
        <w:pStyle w:val="4"/>
        <w:shd w:val="clear" w:color="auto" w:fill="FFFFFF"/>
        <w:spacing w:before="0" w:beforeAutospacing="0" w:after="0" w:afterAutospacing="0"/>
        <w:jc w:val="both"/>
        <w:rPr>
          <w:rFonts w:ascii="微软雅黑" w:hAnsi="微软雅黑" w:eastAsia="微软雅黑"/>
          <w:color w:val="000000"/>
          <w:sz w:val="21"/>
          <w:szCs w:val="21"/>
        </w:rPr>
      </w:pPr>
      <w:r>
        <w:drawing>
          <wp:inline distT="0" distB="0" distL="114300" distR="114300">
            <wp:extent cx="5274310" cy="1156335"/>
            <wp:effectExtent l="0" t="0" r="2540" b="571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pic:cNvPicPr>
                      <a:picLocks noChangeAspect="1"/>
                    </pic:cNvPicPr>
                  </pic:nvPicPr>
                  <pic:blipFill>
                    <a:blip r:embed="rId13"/>
                    <a:stretch>
                      <a:fillRect/>
                    </a:stretch>
                  </pic:blipFill>
                  <pic:spPr>
                    <a:xfrm>
                      <a:off x="0" y="0"/>
                      <a:ext cx="5274310" cy="1156335"/>
                    </a:xfrm>
                    <a:prstGeom prst="rect">
                      <a:avLst/>
                    </a:prstGeom>
                    <a:noFill/>
                    <a:ln>
                      <a:noFill/>
                    </a:ln>
                  </pic:spPr>
                </pic:pic>
              </a:graphicData>
            </a:graphic>
          </wp:inline>
        </w:drawing>
      </w:r>
    </w:p>
    <w:p>
      <w:pPr>
        <w:pStyle w:val="4"/>
        <w:shd w:val="clear" w:color="auto" w:fill="FFFFFF"/>
        <w:spacing w:before="0" w:beforeAutospacing="0" w:after="0" w:afterAutospacing="0"/>
        <w:jc w:val="both"/>
        <w:rPr>
          <w:rFonts w:ascii="微软雅黑" w:hAnsi="微软雅黑" w:eastAsia="微软雅黑"/>
          <w:color w:val="000000"/>
          <w:sz w:val="21"/>
          <w:szCs w:val="21"/>
        </w:rPr>
      </w:pPr>
    </w:p>
    <w:p>
      <w:pPr>
        <w:pStyle w:val="4"/>
        <w:shd w:val="clear" w:color="auto" w:fill="FFFFFF"/>
        <w:spacing w:before="0" w:beforeAutospacing="0" w:after="0" w:afterAutospacing="0" w:line="600" w:lineRule="exact"/>
        <w:jc w:val="center"/>
        <w:rPr>
          <w:rFonts w:ascii="黑体" w:hAnsi="黑体" w:eastAsia="黑体"/>
          <w:color w:val="000000"/>
          <w:sz w:val="32"/>
          <w:szCs w:val="32"/>
        </w:rPr>
      </w:pPr>
      <w:r>
        <w:rPr>
          <w:rFonts w:hint="eastAsia" w:ascii="黑体" w:hAnsi="黑体" w:eastAsia="黑体"/>
          <w:color w:val="000000"/>
          <w:sz w:val="32"/>
          <w:szCs w:val="32"/>
        </w:rPr>
        <w:t>第三部分 2024年度部门决算情况说明</w:t>
      </w:r>
    </w:p>
    <w:p>
      <w:pPr>
        <w:pStyle w:val="4"/>
        <w:shd w:val="clear" w:color="auto" w:fill="FFFFFF"/>
        <w:spacing w:before="0" w:beforeAutospacing="0" w:after="0" w:afterAutospacing="0" w:line="600" w:lineRule="exact"/>
        <w:jc w:val="center"/>
        <w:rPr>
          <w:rFonts w:ascii="黑体" w:hAnsi="黑体" w:eastAsia="黑体"/>
          <w:color w:val="000000"/>
          <w:sz w:val="32"/>
          <w:szCs w:val="32"/>
        </w:rPr>
      </w:pPr>
    </w:p>
    <w:p>
      <w:pPr>
        <w:pStyle w:val="4"/>
        <w:shd w:val="clear" w:color="auto" w:fill="FFFFFF"/>
        <w:spacing w:before="0" w:beforeAutospacing="0" w:after="0" w:afterAutospacing="0" w:line="600" w:lineRule="exact"/>
        <w:ind w:firstLine="480"/>
        <w:jc w:val="both"/>
        <w:rPr>
          <w:rFonts w:ascii="黑体" w:hAnsi="黑体" w:eastAsia="黑体"/>
          <w:color w:val="000000"/>
          <w:sz w:val="32"/>
          <w:szCs w:val="32"/>
        </w:rPr>
      </w:pPr>
      <w:r>
        <w:rPr>
          <w:rFonts w:hint="eastAsia" w:ascii="黑体" w:hAnsi="黑体" w:eastAsia="黑体"/>
          <w:color w:val="000000"/>
          <w:sz w:val="32"/>
          <w:szCs w:val="32"/>
        </w:rPr>
        <w:t>一、关于2024年度部门收入支出决算情况的总体说明</w:t>
      </w:r>
    </w:p>
    <w:p>
      <w:pPr>
        <w:pStyle w:val="4"/>
        <w:shd w:val="clear" w:color="auto" w:fill="FFFFFF"/>
        <w:spacing w:before="0" w:beforeAutospacing="0" w:after="0" w:afterAutospacing="0" w:line="600" w:lineRule="exact"/>
        <w:ind w:firstLine="482"/>
        <w:jc w:val="both"/>
        <w:rPr>
          <w:rFonts w:ascii="仿宋_GB2312" w:hAnsi="微软雅黑" w:eastAsia="仿宋_GB2312"/>
          <w:color w:val="000000"/>
          <w:sz w:val="32"/>
          <w:szCs w:val="32"/>
        </w:rPr>
      </w:pPr>
      <w:r>
        <w:rPr>
          <w:rFonts w:hint="eastAsia" w:ascii="仿宋_GB2312" w:hAnsi="微软雅黑" w:eastAsia="仿宋_GB2312"/>
          <w:color w:val="000000"/>
          <w:sz w:val="32"/>
          <w:szCs w:val="32"/>
        </w:rPr>
        <w:t>（一）总收支。2024年度本年收入1440.50万元，年初结转和结余346.04万元，本年支出1537.51万元，年末结转和结余249.03万元。</w:t>
      </w:r>
    </w:p>
    <w:p>
      <w:pPr>
        <w:pStyle w:val="4"/>
        <w:shd w:val="clear" w:color="auto" w:fill="FFFFFF"/>
        <w:spacing w:before="0" w:beforeAutospacing="0" w:after="0" w:afterAutospacing="0" w:line="600" w:lineRule="exact"/>
        <w:ind w:firstLine="482"/>
        <w:jc w:val="both"/>
        <w:rPr>
          <w:rFonts w:ascii="微软雅黑" w:hAnsi="微软雅黑" w:eastAsia="微软雅黑"/>
          <w:color w:val="000000"/>
          <w:sz w:val="32"/>
          <w:szCs w:val="32"/>
        </w:rPr>
      </w:pPr>
      <w:r>
        <w:rPr>
          <w:rFonts w:hint="eastAsia" w:ascii="仿宋_GB2312" w:hAnsi="微软雅黑" w:eastAsia="仿宋_GB2312"/>
          <w:color w:val="000000"/>
          <w:sz w:val="32"/>
          <w:szCs w:val="32"/>
        </w:rPr>
        <w:t>（二）一般公共预算财政拨款收支。2024年度结转和结余68.18万元，本年收入1251.78万元，本年支出1273.02万元，年末结转和结余46.94万元。</w:t>
      </w:r>
    </w:p>
    <w:p>
      <w:pPr>
        <w:pStyle w:val="4"/>
        <w:shd w:val="clear" w:color="auto" w:fill="FFFFFF"/>
        <w:spacing w:before="0" w:beforeAutospacing="0" w:after="0" w:afterAutospacing="0" w:line="600" w:lineRule="exact"/>
        <w:ind w:firstLine="480"/>
        <w:jc w:val="both"/>
        <w:rPr>
          <w:rFonts w:ascii="微软雅黑" w:hAnsi="微软雅黑" w:eastAsia="微软雅黑"/>
          <w:color w:val="000000"/>
          <w:sz w:val="32"/>
          <w:szCs w:val="32"/>
        </w:rPr>
      </w:pPr>
      <w:r>
        <w:rPr>
          <w:rFonts w:hint="eastAsia" w:ascii="黑体" w:hAnsi="黑体" w:eastAsia="黑体"/>
          <w:color w:val="000000"/>
          <w:sz w:val="32"/>
          <w:szCs w:val="32"/>
        </w:rPr>
        <w:t>二、关于2024年度部门收入决算的说明</w:t>
      </w:r>
    </w:p>
    <w:p>
      <w:pPr>
        <w:pStyle w:val="4"/>
        <w:shd w:val="clear" w:color="auto" w:fill="FFFFFF"/>
        <w:spacing w:before="0" w:beforeAutospacing="0" w:after="0" w:afterAutospacing="0" w:line="600" w:lineRule="exact"/>
        <w:ind w:firstLine="480"/>
        <w:jc w:val="both"/>
        <w:rPr>
          <w:rFonts w:ascii="仿宋_GB2312" w:hAnsi="微软雅黑" w:eastAsia="仿宋_GB2312"/>
          <w:color w:val="000000"/>
          <w:sz w:val="32"/>
          <w:szCs w:val="32"/>
        </w:rPr>
      </w:pPr>
      <w:r>
        <w:rPr>
          <w:rFonts w:hint="eastAsia" w:ascii="仿宋_GB2312" w:hAnsi="微软雅黑" w:eastAsia="仿宋_GB2312"/>
          <w:color w:val="000000"/>
          <w:sz w:val="32"/>
          <w:szCs w:val="32"/>
        </w:rPr>
        <w:t>2024年度收入决算1440.50万元，其中：财政拨款收入1251.78万元，占86.90%；事业收入164.95万元，占11.45%;其他收入23.77万元，占1.65%。</w:t>
      </w:r>
    </w:p>
    <w:p>
      <w:pPr>
        <w:pStyle w:val="4"/>
        <w:shd w:val="clear" w:color="auto" w:fill="FFFFFF"/>
        <w:spacing w:before="0" w:beforeAutospacing="0" w:after="0" w:afterAutospacing="0"/>
        <w:jc w:val="both"/>
        <w:rPr>
          <w:rFonts w:ascii="微软雅黑" w:hAnsi="微软雅黑" w:eastAsia="微软雅黑"/>
          <w:color w:val="000000"/>
          <w:sz w:val="32"/>
          <w:szCs w:val="32"/>
        </w:rPr>
      </w:pPr>
      <w:r>
        <w:drawing>
          <wp:inline distT="0" distB="0" distL="114300" distR="114300">
            <wp:extent cx="5268595" cy="3311525"/>
            <wp:effectExtent l="4445" t="4445" r="22860" b="1778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pStyle w:val="4"/>
        <w:shd w:val="clear" w:color="auto" w:fill="FFFFFF"/>
        <w:spacing w:before="0" w:beforeAutospacing="0" w:after="0" w:afterAutospacing="0" w:line="600" w:lineRule="exact"/>
        <w:ind w:firstLine="480"/>
        <w:jc w:val="both"/>
        <w:rPr>
          <w:rFonts w:ascii="微软雅黑" w:hAnsi="微软雅黑" w:eastAsia="微软雅黑"/>
          <w:color w:val="000000"/>
          <w:sz w:val="32"/>
          <w:szCs w:val="32"/>
        </w:rPr>
      </w:pPr>
      <w:r>
        <w:rPr>
          <w:rFonts w:hint="eastAsia" w:ascii="黑体" w:hAnsi="黑体" w:eastAsia="黑体"/>
          <w:color w:val="000000"/>
          <w:sz w:val="32"/>
          <w:szCs w:val="32"/>
        </w:rPr>
        <w:t>三、关于2024年度部门支出决算的说明</w:t>
      </w:r>
    </w:p>
    <w:p>
      <w:pPr>
        <w:pStyle w:val="4"/>
        <w:shd w:val="clear" w:color="auto" w:fill="FFFFFF"/>
        <w:spacing w:before="0" w:beforeAutospacing="0" w:after="0" w:afterAutospacing="0" w:line="600" w:lineRule="exact"/>
        <w:ind w:firstLine="480"/>
        <w:jc w:val="both"/>
        <w:rPr>
          <w:rFonts w:ascii="仿宋_GB2312" w:hAnsi="微软雅黑" w:eastAsia="仿宋_GB2312"/>
          <w:color w:val="000000"/>
          <w:sz w:val="32"/>
          <w:szCs w:val="32"/>
        </w:rPr>
      </w:pPr>
      <w:r>
        <w:rPr>
          <w:rFonts w:hint="eastAsia" w:ascii="仿宋_GB2312" w:hAnsi="微软雅黑" w:eastAsia="仿宋_GB2312"/>
          <w:color w:val="000000"/>
          <w:sz w:val="32"/>
          <w:szCs w:val="32"/>
        </w:rPr>
        <w:t>2024年度支出决算1537.51万元，其中：基本支出846.80元，占55.08%，项目中支出690.72万元，占44.92%。</w:t>
      </w:r>
    </w:p>
    <w:p>
      <w:pPr>
        <w:pStyle w:val="4"/>
        <w:shd w:val="clear" w:color="auto" w:fill="FFFFFF"/>
        <w:spacing w:before="0" w:beforeAutospacing="0" w:after="0" w:afterAutospacing="0"/>
        <w:jc w:val="both"/>
        <w:rPr>
          <w:rFonts w:ascii="微软雅黑" w:hAnsi="微软雅黑" w:eastAsia="微软雅黑"/>
          <w:color w:val="000000"/>
          <w:sz w:val="32"/>
          <w:szCs w:val="32"/>
        </w:rPr>
      </w:pPr>
      <w:r>
        <w:drawing>
          <wp:inline distT="0" distB="0" distL="114300" distR="114300">
            <wp:extent cx="5269230" cy="3387725"/>
            <wp:effectExtent l="4445" t="4445" r="22225" b="17780"/>
            <wp:docPr id="17"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pStyle w:val="4"/>
        <w:shd w:val="clear" w:color="auto" w:fill="FFFFFF"/>
        <w:spacing w:before="0" w:beforeAutospacing="0" w:after="0" w:afterAutospacing="0"/>
        <w:jc w:val="both"/>
        <w:rPr>
          <w:rFonts w:ascii="微软雅黑" w:hAnsi="微软雅黑" w:eastAsia="微软雅黑"/>
          <w:color w:val="000000"/>
          <w:sz w:val="32"/>
          <w:szCs w:val="32"/>
        </w:rPr>
      </w:pPr>
    </w:p>
    <w:p>
      <w:pPr>
        <w:pStyle w:val="4"/>
        <w:shd w:val="clear" w:color="auto" w:fill="FFFFFF"/>
        <w:spacing w:before="0" w:beforeAutospacing="0" w:after="0" w:afterAutospacing="0"/>
        <w:jc w:val="both"/>
        <w:rPr>
          <w:rFonts w:ascii="微软雅黑" w:hAnsi="微软雅黑" w:eastAsia="微软雅黑"/>
          <w:color w:val="000000"/>
          <w:sz w:val="32"/>
          <w:szCs w:val="32"/>
        </w:rPr>
      </w:pPr>
    </w:p>
    <w:p>
      <w:pPr>
        <w:pStyle w:val="4"/>
        <w:shd w:val="clear" w:color="auto" w:fill="FFFFFF"/>
        <w:spacing w:before="0" w:beforeAutospacing="0" w:after="0" w:afterAutospacing="0" w:line="600" w:lineRule="exact"/>
        <w:ind w:firstLine="480"/>
        <w:jc w:val="both"/>
        <w:rPr>
          <w:rFonts w:ascii="微软雅黑" w:hAnsi="微软雅黑" w:eastAsia="微软雅黑"/>
          <w:color w:val="000000"/>
          <w:sz w:val="32"/>
          <w:szCs w:val="32"/>
        </w:rPr>
      </w:pPr>
      <w:r>
        <w:rPr>
          <w:rFonts w:hint="eastAsia" w:ascii="黑体" w:hAnsi="黑体" w:eastAsia="黑体"/>
          <w:color w:val="000000"/>
          <w:sz w:val="32"/>
          <w:szCs w:val="32"/>
        </w:rPr>
        <w:t>四、关于2024年度财政拨款收入支出决算的说明</w:t>
      </w:r>
    </w:p>
    <w:p>
      <w:pPr>
        <w:pStyle w:val="4"/>
        <w:shd w:val="clear" w:color="auto" w:fill="FFFFFF"/>
        <w:spacing w:before="0" w:beforeAutospacing="0" w:after="0" w:afterAutospacing="0" w:line="600" w:lineRule="exact"/>
        <w:ind w:firstLine="480"/>
        <w:jc w:val="both"/>
        <w:rPr>
          <w:rFonts w:ascii="仿宋_GB2312" w:hAnsi="微软雅黑" w:eastAsia="仿宋_GB2312"/>
          <w:color w:val="000000"/>
          <w:sz w:val="32"/>
          <w:szCs w:val="32"/>
        </w:rPr>
      </w:pPr>
      <w:r>
        <w:rPr>
          <w:rFonts w:hint="eastAsia" w:ascii="仿宋_GB2312" w:hAnsi="微软雅黑" w:eastAsia="仿宋_GB2312"/>
          <w:color w:val="000000"/>
          <w:sz w:val="32"/>
          <w:szCs w:val="32"/>
        </w:rPr>
        <w:t>2024年度年初财政拨款结转和结余68.18万元，收入决算1251.78万元，其中：一般公</w:t>
      </w:r>
      <w:r>
        <w:rPr>
          <w:rFonts w:hint="eastAsia" w:ascii="仿宋_GB2312" w:hAnsi="微软雅黑" w:eastAsia="仿宋_GB2312"/>
          <w:color w:val="000000"/>
          <w:sz w:val="32"/>
          <w:szCs w:val="32"/>
          <w:lang w:val="en-US" w:eastAsia="zh-CN"/>
        </w:rPr>
        <w:t>共</w:t>
      </w:r>
      <w:r>
        <w:rPr>
          <w:rFonts w:hint="eastAsia" w:ascii="仿宋_GB2312" w:hAnsi="微软雅黑" w:eastAsia="仿宋_GB2312"/>
          <w:color w:val="000000"/>
          <w:sz w:val="32"/>
          <w:szCs w:val="32"/>
        </w:rPr>
        <w:t>预算财政拨款1251.78万元；决算支出1273.02万元，其中：社会保障和就业支出91.91万元，卫生健康支出1115.47万元，住房保障支出65.63万元；年末财政拨款结转和结余46.94万元。</w:t>
      </w:r>
    </w:p>
    <w:p>
      <w:pPr>
        <w:pStyle w:val="4"/>
        <w:shd w:val="clear" w:color="auto" w:fill="FFFFFF"/>
        <w:spacing w:before="0" w:beforeAutospacing="0" w:after="0" w:afterAutospacing="0"/>
        <w:jc w:val="both"/>
        <w:rPr>
          <w:rFonts w:ascii="微软雅黑" w:hAnsi="微软雅黑" w:eastAsia="微软雅黑"/>
          <w:color w:val="000000"/>
          <w:sz w:val="32"/>
          <w:szCs w:val="32"/>
        </w:rPr>
      </w:pPr>
      <w:r>
        <w:drawing>
          <wp:inline distT="0" distB="0" distL="114300" distR="114300">
            <wp:extent cx="5273040" cy="3395345"/>
            <wp:effectExtent l="4445" t="4445" r="18415" b="10160"/>
            <wp:docPr id="18"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pStyle w:val="4"/>
        <w:shd w:val="clear" w:color="auto" w:fill="FFFFFF"/>
        <w:spacing w:before="0" w:beforeAutospacing="0" w:after="0" w:afterAutospacing="0"/>
        <w:jc w:val="both"/>
        <w:rPr>
          <w:rFonts w:ascii="微软雅黑" w:hAnsi="微软雅黑" w:eastAsia="微软雅黑"/>
          <w:color w:val="000000"/>
          <w:sz w:val="32"/>
          <w:szCs w:val="32"/>
        </w:rPr>
      </w:pPr>
      <w:r>
        <w:drawing>
          <wp:inline distT="0" distB="0" distL="114300" distR="114300">
            <wp:extent cx="5273040" cy="3293110"/>
            <wp:effectExtent l="4445" t="4445" r="18415" b="17145"/>
            <wp:docPr id="19"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4"/>
        <w:shd w:val="clear" w:color="auto" w:fill="FFFFFF"/>
        <w:spacing w:before="0" w:beforeAutospacing="0" w:after="0" w:afterAutospacing="0" w:line="600" w:lineRule="exact"/>
        <w:ind w:firstLine="480"/>
        <w:jc w:val="both"/>
        <w:rPr>
          <w:rFonts w:ascii="微软雅黑" w:hAnsi="微软雅黑" w:eastAsia="微软雅黑"/>
          <w:color w:val="000000"/>
          <w:sz w:val="32"/>
          <w:szCs w:val="32"/>
        </w:rPr>
      </w:pPr>
      <w:r>
        <w:rPr>
          <w:rFonts w:hint="eastAsia" w:ascii="黑体" w:hAnsi="黑体" w:eastAsia="黑体"/>
          <w:color w:val="000000"/>
          <w:sz w:val="32"/>
          <w:szCs w:val="32"/>
        </w:rPr>
        <w:t>五、关于2024年度一般公共预算财政拨款支出决算的说明</w:t>
      </w:r>
    </w:p>
    <w:p>
      <w:pPr>
        <w:pStyle w:val="4"/>
        <w:shd w:val="clear" w:color="auto" w:fill="FFFFFF"/>
        <w:spacing w:before="0" w:beforeAutospacing="0" w:after="0" w:afterAutospacing="0" w:line="600" w:lineRule="exact"/>
        <w:ind w:firstLine="480"/>
        <w:jc w:val="both"/>
        <w:rPr>
          <w:rFonts w:ascii="微软雅黑" w:hAnsi="微软雅黑" w:eastAsia="微软雅黑"/>
          <w:color w:val="000000"/>
          <w:sz w:val="32"/>
          <w:szCs w:val="32"/>
        </w:rPr>
      </w:pPr>
      <w:r>
        <w:rPr>
          <w:rFonts w:hint="eastAsia" w:ascii="仿宋_GB2312" w:hAnsi="微软雅黑" w:eastAsia="仿宋_GB2312"/>
          <w:color w:val="000000"/>
          <w:sz w:val="32"/>
          <w:szCs w:val="32"/>
        </w:rPr>
        <w:t>2024年度年初一般公共预算财政拨款结转和结余68.18万元，其中：基本支出结转64.28万元，项目支出结转3.91万元；决算</w:t>
      </w:r>
      <w:r>
        <w:rPr>
          <w:rFonts w:hint="eastAsia" w:ascii="仿宋_GB2312" w:hAnsi="微软雅黑" w:eastAsia="仿宋_GB2312"/>
          <w:color w:val="000000"/>
          <w:sz w:val="32"/>
          <w:szCs w:val="32"/>
          <w:lang w:val="en-US" w:eastAsia="zh-CN"/>
        </w:rPr>
        <w:t>支出</w:t>
      </w:r>
      <w:r>
        <w:rPr>
          <w:rFonts w:hint="eastAsia" w:ascii="仿宋_GB2312" w:hAnsi="微软雅黑" w:eastAsia="仿宋_GB2312"/>
          <w:color w:val="000000"/>
          <w:sz w:val="32"/>
          <w:szCs w:val="32"/>
        </w:rPr>
        <w:t>1</w:t>
      </w:r>
      <w:r>
        <w:rPr>
          <w:rFonts w:hint="eastAsia" w:ascii="仿宋_GB2312" w:hAnsi="微软雅黑" w:eastAsia="仿宋_GB2312"/>
          <w:color w:val="000000"/>
          <w:sz w:val="32"/>
          <w:szCs w:val="32"/>
          <w:lang w:val="en-US" w:eastAsia="zh-CN"/>
        </w:rPr>
        <w:t>273.02</w:t>
      </w:r>
      <w:r>
        <w:rPr>
          <w:rFonts w:hint="eastAsia" w:ascii="仿宋_GB2312" w:hAnsi="微软雅黑" w:eastAsia="仿宋_GB2312"/>
          <w:color w:val="000000"/>
          <w:sz w:val="32"/>
          <w:szCs w:val="32"/>
        </w:rPr>
        <w:t>万元，基本支出582.30万元，</w:t>
      </w:r>
      <w:r>
        <w:rPr>
          <w:rFonts w:hint="eastAsia" w:ascii="仿宋_GB2312" w:hAnsi="微软雅黑" w:eastAsia="仿宋_GB2312"/>
          <w:color w:val="000000"/>
          <w:sz w:val="32"/>
          <w:szCs w:val="32"/>
          <w:lang w:val="en-US" w:eastAsia="zh-CN"/>
        </w:rPr>
        <w:t>其中：社会保证和就业支出91.91万元，卫生健康支出425.75万元，住房改革支出65.63万元；</w:t>
      </w:r>
      <w:r>
        <w:rPr>
          <w:rFonts w:hint="eastAsia" w:ascii="仿宋_GB2312" w:hAnsi="微软雅黑" w:eastAsia="仿宋_GB2312"/>
          <w:color w:val="000000"/>
          <w:sz w:val="32"/>
          <w:szCs w:val="32"/>
        </w:rPr>
        <w:t>项目支出690.72万元</w:t>
      </w:r>
      <w:r>
        <w:rPr>
          <w:rFonts w:hint="eastAsia" w:ascii="仿宋_GB2312" w:hAnsi="微软雅黑" w:eastAsia="仿宋_GB2312"/>
          <w:color w:val="000000"/>
          <w:sz w:val="32"/>
          <w:szCs w:val="32"/>
          <w:lang w:eastAsia="zh-CN"/>
        </w:rPr>
        <w:t>，</w:t>
      </w:r>
      <w:r>
        <w:rPr>
          <w:rFonts w:hint="eastAsia" w:ascii="仿宋_GB2312" w:hAnsi="微软雅黑" w:eastAsia="仿宋_GB2312"/>
          <w:color w:val="000000"/>
          <w:sz w:val="32"/>
          <w:szCs w:val="32"/>
          <w:lang w:val="en-US" w:eastAsia="zh-CN"/>
        </w:rPr>
        <w:t>全部为卫生健康支出</w:t>
      </w:r>
      <w:r>
        <w:rPr>
          <w:rFonts w:hint="eastAsia" w:ascii="仿宋_GB2312" w:hAnsi="微软雅黑" w:eastAsia="仿宋_GB2312"/>
          <w:color w:val="000000"/>
          <w:sz w:val="32"/>
          <w:szCs w:val="32"/>
        </w:rPr>
        <w:t>；年末一般公共预算财政拨款结转和结余46.94万元，其中：基本支出结转46.52万元，项目支出结转0.42万元。</w:t>
      </w:r>
    </w:p>
    <w:p>
      <w:pPr>
        <w:pStyle w:val="4"/>
        <w:shd w:val="clear" w:color="auto" w:fill="FFFFFF"/>
        <w:spacing w:before="0" w:beforeAutospacing="0" w:after="0" w:afterAutospacing="0" w:line="600" w:lineRule="exact"/>
        <w:ind w:firstLine="480"/>
        <w:jc w:val="both"/>
        <w:rPr>
          <w:rFonts w:ascii="微软雅黑" w:hAnsi="微软雅黑" w:eastAsia="微软雅黑"/>
          <w:color w:val="000000"/>
          <w:sz w:val="32"/>
          <w:szCs w:val="32"/>
        </w:rPr>
      </w:pPr>
      <w:r>
        <w:rPr>
          <w:rFonts w:hint="eastAsia" w:ascii="黑体" w:hAnsi="黑体" w:eastAsia="黑体"/>
          <w:color w:val="000000"/>
          <w:sz w:val="32"/>
          <w:szCs w:val="32"/>
        </w:rPr>
        <w:t>六、关于2024年度一般公共预算财政拨款基本支出决算的说明</w:t>
      </w:r>
    </w:p>
    <w:p>
      <w:pPr>
        <w:pStyle w:val="4"/>
        <w:shd w:val="clear" w:color="auto" w:fill="FFFFFF"/>
        <w:spacing w:before="0" w:beforeAutospacing="0" w:after="0" w:afterAutospacing="0" w:line="600" w:lineRule="exact"/>
        <w:ind w:firstLine="480"/>
        <w:jc w:val="both"/>
        <w:rPr>
          <w:rFonts w:ascii="仿宋_GB2312" w:hAnsi="微软雅黑" w:eastAsia="仿宋_GB2312"/>
          <w:color w:val="000000"/>
          <w:sz w:val="32"/>
          <w:szCs w:val="32"/>
        </w:rPr>
      </w:pPr>
      <w:r>
        <w:rPr>
          <w:rFonts w:hint="eastAsia" w:ascii="仿宋_GB2312" w:hAnsi="微软雅黑" w:eastAsia="仿宋_GB2312"/>
          <w:color w:val="000000"/>
          <w:sz w:val="32"/>
          <w:szCs w:val="32"/>
        </w:rPr>
        <w:t>2024年度一般公共预算财政拨款基本支出582.30万元，其中：人员经费491.43万元，主要包括基本工资、津贴补贴、绩效工资、机关事业单位基本养老保险缴费、职业年金缴费、住房公积金。公用经费90.87万元，主要包括：办公费、印刷费、电费、邮电费、差旅费、维修（护）费、租赁费、会议费、培训费、劳务费、委托业务费、工会经费、税金及附加费用、其他商品和服务支出。</w:t>
      </w:r>
    </w:p>
    <w:p>
      <w:pPr>
        <w:pStyle w:val="4"/>
        <w:shd w:val="clear" w:color="auto" w:fill="FFFFFF"/>
        <w:spacing w:before="0" w:beforeAutospacing="0" w:after="0" w:afterAutospacing="0"/>
        <w:jc w:val="both"/>
        <w:rPr>
          <w:rFonts w:ascii="仿宋_GB2312" w:hAnsi="微软雅黑" w:eastAsia="仿宋_GB2312"/>
          <w:color w:val="000000"/>
          <w:sz w:val="32"/>
          <w:szCs w:val="32"/>
        </w:rPr>
      </w:pPr>
      <w:r>
        <w:drawing>
          <wp:inline distT="0" distB="0" distL="114300" distR="114300">
            <wp:extent cx="5271135" cy="3376295"/>
            <wp:effectExtent l="4445" t="4445" r="20320" b="10160"/>
            <wp:docPr id="20"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pStyle w:val="4"/>
        <w:shd w:val="clear" w:color="auto" w:fill="FFFFFF"/>
        <w:spacing w:before="0" w:beforeAutospacing="0" w:after="0" w:afterAutospacing="0" w:line="600" w:lineRule="exact"/>
        <w:ind w:firstLine="482"/>
        <w:jc w:val="both"/>
        <w:rPr>
          <w:rFonts w:ascii="微软雅黑" w:hAnsi="微软雅黑" w:eastAsia="微软雅黑"/>
          <w:color w:val="000000"/>
          <w:sz w:val="32"/>
          <w:szCs w:val="32"/>
        </w:rPr>
      </w:pPr>
      <w:r>
        <w:rPr>
          <w:rFonts w:hint="eastAsia" w:ascii="黑体" w:hAnsi="黑体" w:eastAsia="黑体"/>
          <w:color w:val="000000"/>
          <w:sz w:val="32"/>
          <w:szCs w:val="32"/>
        </w:rPr>
        <w:t>七、关于2024年度政府性基金预算财政拨款收入支出决算的说明</w:t>
      </w:r>
    </w:p>
    <w:p>
      <w:pPr>
        <w:pStyle w:val="4"/>
        <w:shd w:val="clear" w:color="auto" w:fill="FFFFFF"/>
        <w:spacing w:before="0" w:beforeAutospacing="0" w:after="0" w:afterAutospacing="0" w:line="600" w:lineRule="exact"/>
        <w:ind w:firstLine="482"/>
        <w:jc w:val="both"/>
        <w:rPr>
          <w:rFonts w:ascii="微软雅黑" w:hAnsi="微软雅黑" w:eastAsia="微软雅黑"/>
          <w:color w:val="000000"/>
          <w:sz w:val="32"/>
          <w:szCs w:val="32"/>
        </w:rPr>
      </w:pPr>
      <w:r>
        <w:rPr>
          <w:rFonts w:hint="eastAsia" w:ascii="仿宋_GB2312" w:hAnsi="微软雅黑" w:eastAsia="仿宋_GB2312"/>
          <w:color w:val="000000"/>
          <w:sz w:val="32"/>
          <w:szCs w:val="32"/>
        </w:rPr>
        <w:t>2024年度无政府性基金预算财政拨款收支。</w:t>
      </w:r>
    </w:p>
    <w:p>
      <w:pPr>
        <w:pStyle w:val="4"/>
        <w:shd w:val="clear" w:color="auto" w:fill="FFFFFF"/>
        <w:spacing w:before="0" w:beforeAutospacing="0" w:after="0" w:afterAutospacing="0" w:line="600" w:lineRule="exact"/>
        <w:ind w:firstLine="480"/>
        <w:jc w:val="both"/>
        <w:rPr>
          <w:rFonts w:ascii="微软雅黑" w:hAnsi="微软雅黑" w:eastAsia="微软雅黑"/>
          <w:color w:val="000000"/>
          <w:sz w:val="32"/>
          <w:szCs w:val="32"/>
        </w:rPr>
      </w:pPr>
      <w:r>
        <w:rPr>
          <w:rFonts w:hint="eastAsia" w:ascii="黑体" w:hAnsi="黑体" w:eastAsia="黑体"/>
          <w:color w:val="000000"/>
          <w:sz w:val="32"/>
          <w:szCs w:val="32"/>
        </w:rPr>
        <w:t>八、关于2024年度国有资本经营预算财政拨款收入支出决算的说明</w:t>
      </w:r>
    </w:p>
    <w:p>
      <w:pPr>
        <w:pStyle w:val="4"/>
        <w:shd w:val="clear" w:color="auto" w:fill="FFFFFF"/>
        <w:spacing w:before="0" w:beforeAutospacing="0" w:after="0" w:afterAutospacing="0" w:line="600" w:lineRule="exact"/>
        <w:ind w:firstLine="482"/>
        <w:jc w:val="both"/>
        <w:rPr>
          <w:rFonts w:ascii="仿宋_GB2312" w:hAnsi="微软雅黑" w:eastAsia="仿宋_GB2312"/>
          <w:color w:val="000000"/>
          <w:sz w:val="32"/>
          <w:szCs w:val="32"/>
        </w:rPr>
      </w:pPr>
      <w:r>
        <w:rPr>
          <w:rFonts w:hint="eastAsia" w:ascii="仿宋_GB2312" w:hAnsi="微软雅黑" w:eastAsia="仿宋_GB2312"/>
          <w:color w:val="000000"/>
          <w:sz w:val="32"/>
          <w:szCs w:val="32"/>
        </w:rPr>
        <w:t>2024年度无国有资本经营预算财政拨款收支。</w:t>
      </w:r>
    </w:p>
    <w:p>
      <w:pPr>
        <w:pStyle w:val="4"/>
        <w:shd w:val="clear" w:color="auto" w:fill="FFFFFF"/>
        <w:spacing w:before="0" w:beforeAutospacing="0" w:after="0" w:afterAutospacing="0" w:line="600" w:lineRule="exact"/>
        <w:ind w:firstLine="640"/>
        <w:rPr>
          <w:rFonts w:ascii="微软雅黑" w:hAnsi="微软雅黑" w:eastAsia="微软雅黑"/>
          <w:color w:val="000000"/>
          <w:sz w:val="32"/>
          <w:szCs w:val="32"/>
        </w:rPr>
      </w:pPr>
      <w:r>
        <w:rPr>
          <w:rFonts w:hint="eastAsia" w:ascii="黑体" w:hAnsi="黑体" w:eastAsia="黑体"/>
          <w:color w:val="000000"/>
          <w:sz w:val="32"/>
          <w:szCs w:val="32"/>
        </w:rPr>
        <w:t>九、关于2024年度财政拨款“三公经费”支出决算的说明</w:t>
      </w:r>
    </w:p>
    <w:p>
      <w:pPr>
        <w:pStyle w:val="4"/>
        <w:shd w:val="clear" w:color="auto" w:fill="FFFFFF"/>
        <w:spacing w:before="0" w:beforeAutospacing="0" w:after="0" w:afterAutospacing="0" w:line="600" w:lineRule="exact"/>
        <w:ind w:firstLine="640"/>
        <w:rPr>
          <w:rFonts w:ascii="仿宋_GB2312" w:hAnsi="微软雅黑" w:eastAsia="仿宋_GB2312"/>
          <w:color w:val="000000"/>
          <w:sz w:val="32"/>
          <w:szCs w:val="32"/>
        </w:rPr>
      </w:pPr>
      <w:r>
        <w:rPr>
          <w:rFonts w:hint="eastAsia" w:ascii="仿宋_GB2312" w:hAnsi="微软雅黑" w:eastAsia="仿宋_GB2312"/>
          <w:color w:val="000000"/>
          <w:sz w:val="32"/>
          <w:szCs w:val="32"/>
        </w:rPr>
        <w:t>2024年度无财政拨款“三公经费”支出。</w:t>
      </w:r>
    </w:p>
    <w:p>
      <w:pPr>
        <w:pStyle w:val="4"/>
        <w:shd w:val="clear" w:color="auto" w:fill="FFFFFF"/>
        <w:spacing w:before="0" w:beforeAutospacing="0" w:after="0" w:afterAutospacing="0" w:line="600" w:lineRule="exact"/>
        <w:ind w:firstLine="480"/>
        <w:jc w:val="both"/>
        <w:rPr>
          <w:rFonts w:ascii="黑体" w:hAnsi="黑体" w:eastAsia="黑体"/>
          <w:color w:val="000000"/>
          <w:sz w:val="32"/>
          <w:szCs w:val="32"/>
        </w:rPr>
      </w:pPr>
      <w:r>
        <w:rPr>
          <w:rFonts w:hint="eastAsia" w:ascii="黑体" w:hAnsi="黑体" w:eastAsia="黑体"/>
          <w:color w:val="000000"/>
          <w:sz w:val="32"/>
          <w:szCs w:val="32"/>
        </w:rPr>
        <w:t>十</w:t>
      </w:r>
      <w:r>
        <w:rPr>
          <w:rFonts w:ascii="黑体" w:hAnsi="黑体" w:eastAsia="黑体"/>
          <w:color w:val="000000"/>
          <w:sz w:val="32"/>
          <w:szCs w:val="32"/>
        </w:rPr>
        <w:t>、关于</w:t>
      </w:r>
      <w:r>
        <w:rPr>
          <w:rFonts w:hint="eastAsia" w:ascii="黑体" w:hAnsi="黑体" w:eastAsia="黑体"/>
          <w:color w:val="000000"/>
          <w:sz w:val="32"/>
          <w:szCs w:val="32"/>
        </w:rPr>
        <w:t>2024年度</w:t>
      </w:r>
      <w:r>
        <w:rPr>
          <w:rFonts w:ascii="黑体" w:hAnsi="黑体" w:eastAsia="黑体"/>
          <w:color w:val="000000"/>
          <w:sz w:val="32"/>
          <w:szCs w:val="32"/>
        </w:rPr>
        <w:t>项目绩效支出自评表的说明</w:t>
      </w:r>
    </w:p>
    <w:p>
      <w:pPr>
        <w:pStyle w:val="4"/>
        <w:shd w:val="clear" w:color="auto" w:fill="FFFFFF"/>
        <w:spacing w:before="0" w:beforeAutospacing="0" w:after="0" w:afterAutospacing="0"/>
        <w:jc w:val="both"/>
      </w:pPr>
      <w:r>
        <w:drawing>
          <wp:inline distT="0" distB="0" distL="114300" distR="114300">
            <wp:extent cx="5268595" cy="5692775"/>
            <wp:effectExtent l="0" t="0" r="8255" b="3175"/>
            <wp:docPr id="2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2"/>
                    <pic:cNvPicPr>
                      <a:picLocks noChangeAspect="1"/>
                    </pic:cNvPicPr>
                  </pic:nvPicPr>
                  <pic:blipFill>
                    <a:blip r:embed="rId19"/>
                    <a:stretch>
                      <a:fillRect/>
                    </a:stretch>
                  </pic:blipFill>
                  <pic:spPr>
                    <a:xfrm>
                      <a:off x="0" y="0"/>
                      <a:ext cx="5268595" cy="5692775"/>
                    </a:xfrm>
                    <a:prstGeom prst="rect">
                      <a:avLst/>
                    </a:prstGeom>
                    <a:noFill/>
                    <a:ln>
                      <a:noFill/>
                    </a:ln>
                  </pic:spPr>
                </pic:pic>
              </a:graphicData>
            </a:graphic>
          </wp:inline>
        </w:drawing>
      </w:r>
    </w:p>
    <w:p>
      <w:pPr>
        <w:pStyle w:val="4"/>
        <w:shd w:val="clear" w:color="auto" w:fill="FFFFFF"/>
        <w:spacing w:before="0" w:beforeAutospacing="0" w:after="0" w:afterAutospacing="0"/>
        <w:jc w:val="both"/>
      </w:pPr>
      <w:r>
        <w:drawing>
          <wp:inline distT="0" distB="0" distL="114300" distR="114300">
            <wp:extent cx="5271135" cy="5041265"/>
            <wp:effectExtent l="0" t="0" r="5715" b="6985"/>
            <wp:docPr id="2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3"/>
                    <pic:cNvPicPr>
                      <a:picLocks noChangeAspect="1"/>
                    </pic:cNvPicPr>
                  </pic:nvPicPr>
                  <pic:blipFill>
                    <a:blip r:embed="rId20"/>
                    <a:stretch>
                      <a:fillRect/>
                    </a:stretch>
                  </pic:blipFill>
                  <pic:spPr>
                    <a:xfrm>
                      <a:off x="0" y="0"/>
                      <a:ext cx="5271135" cy="5041265"/>
                    </a:xfrm>
                    <a:prstGeom prst="rect">
                      <a:avLst/>
                    </a:prstGeom>
                    <a:noFill/>
                    <a:ln>
                      <a:noFill/>
                    </a:ln>
                  </pic:spPr>
                </pic:pic>
              </a:graphicData>
            </a:graphic>
          </wp:inline>
        </w:drawing>
      </w:r>
    </w:p>
    <w:p>
      <w:pPr>
        <w:pStyle w:val="4"/>
        <w:shd w:val="clear" w:color="auto" w:fill="FFFFFF"/>
        <w:spacing w:before="0" w:beforeAutospacing="0" w:after="0" w:afterAutospacing="0"/>
        <w:jc w:val="both"/>
      </w:pPr>
      <w:r>
        <w:drawing>
          <wp:inline distT="0" distB="0" distL="114300" distR="114300">
            <wp:extent cx="5271135" cy="6812280"/>
            <wp:effectExtent l="0" t="0" r="5715" b="7620"/>
            <wp:docPr id="2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5"/>
                    <pic:cNvPicPr>
                      <a:picLocks noChangeAspect="1"/>
                    </pic:cNvPicPr>
                  </pic:nvPicPr>
                  <pic:blipFill>
                    <a:blip r:embed="rId21"/>
                    <a:stretch>
                      <a:fillRect/>
                    </a:stretch>
                  </pic:blipFill>
                  <pic:spPr>
                    <a:xfrm>
                      <a:off x="0" y="0"/>
                      <a:ext cx="5271135" cy="6812280"/>
                    </a:xfrm>
                    <a:prstGeom prst="rect">
                      <a:avLst/>
                    </a:prstGeom>
                    <a:noFill/>
                    <a:ln>
                      <a:noFill/>
                    </a:ln>
                  </pic:spPr>
                </pic:pic>
              </a:graphicData>
            </a:graphic>
          </wp:inline>
        </w:drawing>
      </w:r>
    </w:p>
    <w:p>
      <w:pPr>
        <w:pStyle w:val="4"/>
        <w:shd w:val="clear" w:color="auto" w:fill="FFFFFF"/>
        <w:spacing w:before="0" w:beforeAutospacing="0" w:after="0" w:afterAutospacing="0" w:line="600" w:lineRule="exact"/>
        <w:jc w:val="center"/>
        <w:rPr>
          <w:rFonts w:ascii="黑体" w:hAnsi="黑体" w:eastAsia="黑体"/>
          <w:color w:val="000000"/>
          <w:sz w:val="32"/>
          <w:szCs w:val="32"/>
        </w:rPr>
      </w:pPr>
    </w:p>
    <w:p>
      <w:pPr>
        <w:pStyle w:val="4"/>
        <w:shd w:val="clear" w:color="auto" w:fill="FFFFFF"/>
        <w:spacing w:before="0" w:beforeAutospacing="0" w:after="0" w:afterAutospacing="0" w:line="600" w:lineRule="exact"/>
        <w:jc w:val="center"/>
        <w:rPr>
          <w:rFonts w:ascii="黑体" w:hAnsi="黑体" w:eastAsia="黑体"/>
          <w:color w:val="000000"/>
          <w:sz w:val="32"/>
          <w:szCs w:val="32"/>
        </w:rPr>
      </w:pPr>
    </w:p>
    <w:p>
      <w:pPr>
        <w:pStyle w:val="4"/>
        <w:shd w:val="clear" w:color="auto" w:fill="FFFFFF"/>
        <w:spacing w:before="0" w:beforeAutospacing="0" w:after="0" w:afterAutospacing="0" w:line="600" w:lineRule="exact"/>
        <w:jc w:val="center"/>
        <w:rPr>
          <w:rFonts w:ascii="黑体" w:hAnsi="黑体" w:eastAsia="黑体"/>
          <w:color w:val="000000"/>
          <w:sz w:val="32"/>
          <w:szCs w:val="32"/>
        </w:rPr>
      </w:pPr>
    </w:p>
    <w:p>
      <w:pPr>
        <w:pStyle w:val="4"/>
        <w:shd w:val="clear" w:color="auto" w:fill="FFFFFF"/>
        <w:spacing w:before="0" w:beforeAutospacing="0" w:after="0" w:afterAutospacing="0" w:line="600" w:lineRule="exact"/>
        <w:jc w:val="center"/>
        <w:rPr>
          <w:rFonts w:ascii="黑体" w:hAnsi="黑体" w:eastAsia="黑体"/>
          <w:color w:val="000000"/>
          <w:sz w:val="32"/>
          <w:szCs w:val="32"/>
        </w:rPr>
      </w:pPr>
      <w:bookmarkStart w:id="0" w:name="_GoBack"/>
      <w:bookmarkEnd w:id="0"/>
    </w:p>
    <w:p>
      <w:pPr>
        <w:pStyle w:val="4"/>
        <w:shd w:val="clear" w:color="auto" w:fill="FFFFFF"/>
        <w:spacing w:before="0" w:beforeAutospacing="0" w:after="0" w:afterAutospacing="0" w:line="600" w:lineRule="exact"/>
        <w:jc w:val="center"/>
        <w:rPr>
          <w:rFonts w:ascii="黑体" w:hAnsi="黑体" w:eastAsia="黑体"/>
          <w:color w:val="000000"/>
          <w:sz w:val="32"/>
          <w:szCs w:val="32"/>
        </w:rPr>
      </w:pPr>
      <w:r>
        <w:rPr>
          <w:rFonts w:hint="eastAsia" w:ascii="黑体" w:hAnsi="黑体" w:eastAsia="黑体"/>
          <w:color w:val="000000"/>
          <w:sz w:val="32"/>
          <w:szCs w:val="32"/>
        </w:rPr>
        <w:t>第四部分 名词解释</w:t>
      </w:r>
    </w:p>
    <w:p>
      <w:pPr>
        <w:pStyle w:val="4"/>
        <w:shd w:val="clear" w:color="auto" w:fill="FFFFFF"/>
        <w:spacing w:before="0" w:beforeAutospacing="0" w:after="0" w:afterAutospacing="0" w:line="600" w:lineRule="exact"/>
        <w:jc w:val="center"/>
        <w:rPr>
          <w:rFonts w:ascii="黑体" w:hAnsi="黑体" w:eastAsia="黑体"/>
          <w:color w:val="000000"/>
          <w:sz w:val="32"/>
          <w:szCs w:val="32"/>
        </w:rPr>
      </w:pPr>
    </w:p>
    <w:p>
      <w:pPr>
        <w:pStyle w:val="4"/>
        <w:shd w:val="clear" w:color="auto" w:fill="FFFFFF"/>
        <w:spacing w:before="0" w:beforeAutospacing="0" w:after="0" w:afterAutospacing="0" w:line="600" w:lineRule="exact"/>
        <w:jc w:val="both"/>
        <w:rPr>
          <w:rFonts w:ascii="微软雅黑" w:hAnsi="微软雅黑" w:eastAsia="微软雅黑"/>
          <w:color w:val="000000"/>
          <w:sz w:val="32"/>
          <w:szCs w:val="32"/>
        </w:rPr>
      </w:pPr>
      <w:r>
        <w:rPr>
          <w:rFonts w:hint="eastAsia" w:ascii="黑体" w:hAnsi="黑体" w:eastAsia="黑体"/>
          <w:color w:val="000000"/>
          <w:sz w:val="32"/>
          <w:szCs w:val="32"/>
        </w:rPr>
        <w:t>　　一、收入科目</w:t>
      </w:r>
    </w:p>
    <w:p>
      <w:pPr>
        <w:pStyle w:val="4"/>
        <w:shd w:val="clear" w:color="auto" w:fill="FFFFFF"/>
        <w:spacing w:before="0" w:beforeAutospacing="0" w:after="0" w:afterAutospacing="0" w:line="600" w:lineRule="exact"/>
        <w:ind w:firstLine="482"/>
        <w:jc w:val="both"/>
        <w:rPr>
          <w:rFonts w:ascii="仿宋_GB2312" w:hAnsi="微软雅黑" w:eastAsia="仿宋_GB2312"/>
          <w:color w:val="000000"/>
          <w:sz w:val="32"/>
          <w:szCs w:val="32"/>
        </w:rPr>
      </w:pPr>
      <w:r>
        <w:rPr>
          <w:rFonts w:hint="eastAsia" w:ascii="仿宋_GB2312" w:hAnsi="微软雅黑" w:eastAsia="仿宋_GB2312"/>
          <w:color w:val="000000"/>
          <w:sz w:val="32"/>
          <w:szCs w:val="32"/>
        </w:rPr>
        <w:t>(一)一般公共预算拨款收入：指中央财政当年拨付的资金。</w:t>
      </w:r>
    </w:p>
    <w:p>
      <w:pPr>
        <w:pStyle w:val="4"/>
        <w:shd w:val="clear" w:color="auto" w:fill="FFFFFF"/>
        <w:spacing w:before="0" w:beforeAutospacing="0" w:after="0" w:afterAutospacing="0" w:line="600" w:lineRule="exact"/>
        <w:ind w:firstLine="482"/>
        <w:jc w:val="both"/>
        <w:rPr>
          <w:rFonts w:ascii="仿宋_GB2312" w:hAnsi="微软雅黑" w:eastAsia="仿宋_GB2312"/>
          <w:color w:val="000000"/>
          <w:sz w:val="32"/>
          <w:szCs w:val="32"/>
        </w:rPr>
      </w:pPr>
      <w:r>
        <w:rPr>
          <w:rFonts w:hint="eastAsia" w:ascii="仿宋_GB2312" w:hAnsi="微软雅黑" w:eastAsia="仿宋_GB2312"/>
          <w:color w:val="000000"/>
          <w:sz w:val="32"/>
          <w:szCs w:val="32"/>
        </w:rPr>
        <w:t>(二)事业收入：指事业单位开展专业业务活动及辅助活动所取得的收入。</w:t>
      </w:r>
    </w:p>
    <w:p>
      <w:pPr>
        <w:pStyle w:val="4"/>
        <w:shd w:val="clear" w:color="auto" w:fill="FFFFFF"/>
        <w:spacing w:before="0" w:beforeAutospacing="0" w:after="0" w:afterAutospacing="0" w:line="600" w:lineRule="exact"/>
        <w:ind w:firstLine="482"/>
        <w:jc w:val="both"/>
        <w:rPr>
          <w:rFonts w:ascii="仿宋_GB2312" w:hAnsi="微软雅黑" w:eastAsia="仿宋_GB2312"/>
          <w:color w:val="000000"/>
          <w:sz w:val="32"/>
          <w:szCs w:val="32"/>
        </w:rPr>
      </w:pPr>
      <w:r>
        <w:rPr>
          <w:rFonts w:hint="eastAsia" w:ascii="仿宋_GB2312" w:hAnsi="微软雅黑" w:eastAsia="仿宋_GB2312"/>
          <w:color w:val="000000"/>
          <w:sz w:val="32"/>
          <w:szCs w:val="32"/>
        </w:rPr>
        <w:t>(三)其他收入：指除上述“财政拨款收入”、“事业收入”等以外的收入。主要是按规定动用的售房收入、存款利息收入等。</w:t>
      </w:r>
    </w:p>
    <w:p>
      <w:pPr>
        <w:pStyle w:val="4"/>
        <w:shd w:val="clear" w:color="auto" w:fill="FFFFFF"/>
        <w:spacing w:before="0" w:beforeAutospacing="0" w:after="0" w:afterAutospacing="0" w:line="600" w:lineRule="exact"/>
        <w:ind w:firstLine="482"/>
        <w:jc w:val="both"/>
        <w:rPr>
          <w:rFonts w:ascii="仿宋_GB2312" w:hAnsi="微软雅黑" w:eastAsia="仿宋_GB2312"/>
          <w:color w:val="000000"/>
          <w:sz w:val="32"/>
          <w:szCs w:val="32"/>
        </w:rPr>
      </w:pPr>
      <w:r>
        <w:rPr>
          <w:rFonts w:hint="eastAsia" w:ascii="仿宋_GB2312" w:hAnsi="微软雅黑" w:eastAsia="仿宋_GB2312"/>
          <w:color w:val="000000"/>
          <w:sz w:val="32"/>
          <w:szCs w:val="32"/>
        </w:rPr>
        <w:t>(四)上年结转：指以前年度安排、结转到本年仍按原规定用途继续使用的资金</w:t>
      </w:r>
      <w:r>
        <w:rPr>
          <w:rFonts w:hint="eastAsia" w:ascii="仿宋_GB2312" w:hAnsi="楷体" w:eastAsia="仿宋_GB2312"/>
          <w:color w:val="000000"/>
          <w:sz w:val="32"/>
          <w:szCs w:val="32"/>
        </w:rPr>
        <w:t>。</w:t>
      </w:r>
    </w:p>
    <w:p>
      <w:pPr>
        <w:spacing w:line="600" w:lineRule="exact"/>
        <w:ind w:firstLine="640" w:firstLineChars="200"/>
        <w:rPr>
          <w:rFonts w:ascii="黑体" w:hAnsi="黑体" w:eastAsia="黑体"/>
          <w:bCs/>
          <w:sz w:val="32"/>
          <w:szCs w:val="32"/>
        </w:rPr>
      </w:pPr>
      <w:r>
        <w:rPr>
          <w:rFonts w:hint="eastAsia" w:ascii="黑体" w:hAnsi="黑体" w:eastAsia="黑体"/>
          <w:bCs/>
          <w:sz w:val="32"/>
          <w:szCs w:val="32"/>
        </w:rPr>
        <w:t>二、支出科目</w:t>
      </w:r>
    </w:p>
    <w:p>
      <w:pPr>
        <w:spacing w:line="600" w:lineRule="exact"/>
        <w:ind w:firstLine="643" w:firstLineChars="200"/>
        <w:rPr>
          <w:rFonts w:ascii="楷体_GB2312" w:eastAsia="楷体_GB2312"/>
          <w:b/>
          <w:sz w:val="32"/>
          <w:szCs w:val="32"/>
        </w:rPr>
      </w:pPr>
      <w:r>
        <w:rPr>
          <w:rFonts w:hint="eastAsia" w:ascii="楷体_GB2312" w:eastAsia="楷体_GB2312"/>
          <w:b/>
          <w:sz w:val="32"/>
          <w:szCs w:val="32"/>
        </w:rPr>
        <w:t>(一)社会保障和就业支出（类）：反映政府在社会保障与就业方面的支出。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行政事业单位养老支出（款）：反映用于行政事业单位养老方面的支出。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机关事业单位基本养老保险缴费支出（项）：反映机关事业单位实施养老保险制度由单位缴纳的基本养老保险费支出。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机关事业单位职业年金缴费支出（项）：反映机关事业单位实施养老保险制度由单位实际缴纳的职业年金支出。</w:t>
      </w:r>
    </w:p>
    <w:p>
      <w:pPr>
        <w:spacing w:line="600" w:lineRule="exact"/>
        <w:ind w:firstLine="643" w:firstLineChars="200"/>
        <w:rPr>
          <w:rFonts w:ascii="楷体_GB2312" w:eastAsia="楷体_GB2312"/>
          <w:b/>
          <w:sz w:val="32"/>
          <w:szCs w:val="32"/>
        </w:rPr>
      </w:pPr>
      <w:r>
        <w:rPr>
          <w:rFonts w:hint="eastAsia" w:ascii="楷体_GB2312" w:eastAsia="楷体_GB2312"/>
          <w:b/>
          <w:sz w:val="32"/>
          <w:szCs w:val="32"/>
        </w:rPr>
        <w:t>(二)卫生健康支出（类）：反映政府卫生健康方面的支出。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卫生健康管理事务（款）：反映卫生健康、中医等管理方面的支出。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其他卫生健康管理事务支出（项）：反映除上述项目以外其他用于卫生健康管理事务方面的支出。　　</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中医药（款）：反映中医药方面的支出。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其他中医药支出（项）：反映除中医（民族医）药专项支出以外的其他中医药支出。</w:t>
      </w:r>
    </w:p>
    <w:p>
      <w:pPr>
        <w:spacing w:line="600" w:lineRule="exact"/>
        <w:ind w:firstLine="643" w:firstLineChars="200"/>
        <w:rPr>
          <w:rFonts w:ascii="楷体_GB2312" w:eastAsia="楷体_GB2312"/>
          <w:b/>
          <w:sz w:val="32"/>
          <w:szCs w:val="32"/>
        </w:rPr>
      </w:pPr>
      <w:r>
        <w:rPr>
          <w:rFonts w:hint="eastAsia" w:ascii="楷体_GB2312" w:eastAsia="楷体_GB2312"/>
          <w:b/>
          <w:sz w:val="32"/>
          <w:szCs w:val="32"/>
        </w:rPr>
        <w:t>(三)住房保障支出（类）：集中反映政府用于住房方面的支出。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住房改革支出（款）：指行政事业单位用财政拨款资金和其他资金等安排的住房改革支出。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住房公积金（项）：指按照《住房公积金管理条例》的规定，由单位及其在职职工缴存的长期住房储金。该项政策始于上世纪九十年代中期，在全国机关、企事业单位在职职工中普遍实施，缴存比例最低不低于5%，最高不超过12%，缴存基数为职工本人上年工资，目前已实施约20年时间。行政单位缴存基数包括国家统一规定的公务员职务工资、级别工资、机关工人岗位工资和技术等级（职务）工资、年终一次性奖金、特殊岗位津贴、艰苦边远地区津贴，规范后发放的工作性津贴、生活性补贴等;事业单位缴存基数包括国家统一规定的岗位工资、薪级工资、绩效工资、艰苦边远地区津贴、特殊岗位津贴等。</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提租补贴（项）：指经国务院批准，于2000年开始针对在京中央单位公有住房租金标准提高发放的补贴，中央在京单位按照在编职工人数和离退休人数以及相应职级的补贴标准确定，人均月补贴90元。</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购房补贴（项）：指根据《国务院关于进一步深化城镇住房制度改革加快住房建设的通知》(国发</w:t>
      </w:r>
      <w:r>
        <w:rPr>
          <w:rFonts w:hint="eastAsia" w:ascii="仿宋_GB2312" w:hAnsi="仿宋" w:eastAsia="仿宋_GB2312" w:cs="仿宋_GB2312"/>
          <w:sz w:val="32"/>
          <w:szCs w:val="32"/>
        </w:rPr>
        <w:t>〔</w:t>
      </w:r>
      <w:r>
        <w:rPr>
          <w:rFonts w:hint="eastAsia" w:ascii="仿宋_GB2312" w:eastAsia="仿宋_GB2312"/>
          <w:sz w:val="32"/>
          <w:szCs w:val="32"/>
        </w:rPr>
        <w:t>1998</w:t>
      </w:r>
      <w:r>
        <w:rPr>
          <w:rFonts w:hint="eastAsia" w:ascii="仿宋_GB2312" w:hAnsi="仿宋" w:eastAsia="仿宋_GB2312" w:cs="仿宋_GB2312"/>
          <w:sz w:val="32"/>
          <w:szCs w:val="32"/>
        </w:rPr>
        <w:t>〕</w:t>
      </w:r>
      <w:r>
        <w:rPr>
          <w:rFonts w:hint="eastAsia" w:ascii="仿宋_GB2312" w:eastAsia="仿宋_GB2312"/>
          <w:sz w:val="32"/>
          <w:szCs w:val="32"/>
        </w:rPr>
        <w:t>23号)的规定，从1998年下半年停止实物分房后，房价收入比超过4倍以上地区对无房和住房未达标职工发放的住房货币化改革补贴资金。中央行政事业单位从2000年开始发放购房补贴资金，地方行政事业单位从1999年陆续开始发放购房补贴资金，企业根据本单位情况自行确定。在京中央单位按照《中共中央办公厅 国务院办公厅转发建设部等单位&lt;关于完善在京中央和国家机关住房制度的若干意见&gt;的通知》（厅字</w:t>
      </w:r>
      <w:r>
        <w:rPr>
          <w:rFonts w:hint="eastAsia" w:ascii="仿宋_GB2312" w:hAnsi="仿宋" w:eastAsia="仿宋_GB2312" w:cs="仿宋_GB2312"/>
          <w:sz w:val="32"/>
          <w:szCs w:val="32"/>
        </w:rPr>
        <w:t>〔</w:t>
      </w:r>
      <w:r>
        <w:rPr>
          <w:rFonts w:hint="eastAsia" w:ascii="仿宋_GB2312" w:eastAsia="仿宋_GB2312"/>
          <w:sz w:val="32"/>
          <w:szCs w:val="32"/>
        </w:rPr>
        <w:t>2005</w:t>
      </w:r>
      <w:r>
        <w:rPr>
          <w:rFonts w:hint="eastAsia" w:ascii="仿宋_GB2312" w:hAnsi="仿宋" w:eastAsia="仿宋_GB2312" w:cs="仿宋_GB2312"/>
          <w:sz w:val="32"/>
          <w:szCs w:val="32"/>
        </w:rPr>
        <w:t>〕</w:t>
      </w:r>
      <w:r>
        <w:rPr>
          <w:rFonts w:hint="eastAsia" w:ascii="仿宋_GB2312" w:eastAsia="仿宋_GB2312"/>
          <w:sz w:val="32"/>
          <w:szCs w:val="32"/>
        </w:rPr>
        <w:t>8号）规定的标准执行，京外中央单位按照所在地人民政府住房分配货币化改革的政策规定和标准执行。</w:t>
      </w:r>
    </w:p>
    <w:p>
      <w:pPr>
        <w:spacing w:line="600" w:lineRule="exact"/>
        <w:ind w:firstLine="640" w:firstLineChars="200"/>
        <w:rPr>
          <w:rFonts w:ascii="黑体" w:hAnsi="黑体" w:eastAsia="黑体"/>
          <w:bCs/>
          <w:sz w:val="32"/>
          <w:szCs w:val="32"/>
        </w:rPr>
      </w:pPr>
      <w:r>
        <w:rPr>
          <w:rFonts w:hint="eastAsia" w:ascii="黑体" w:hAnsi="黑体" w:eastAsia="黑体"/>
          <w:bCs/>
          <w:sz w:val="32"/>
          <w:szCs w:val="32"/>
        </w:rPr>
        <w:t>三、“三公”经费</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纳入国家中医药管理局预算管理的“三公”经费主要指国家中医药管理局用财政拨款安排的因公出国（境）费、公务用车购置及运行费和公务接待费。其中:</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因公出国（境）费反映单位公务出国（境）的住宿费、旅费、伙食补助费、杂费、培训费等支出;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公务用车购置及运行费反映单位公务用车购置费及租用费、燃料费、维修费、过路过桥费、保险费、安全奖励费用等支出;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公务接待费反映单位按规定开支的各类公务接待（含外宾接待）支出。</w:t>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394569"/>
      <w:docPartObj>
        <w:docPartGallery w:val="AutoText"/>
      </w:docPartObj>
    </w:sdtPr>
    <w:sdtEndPr>
      <w:rPr>
        <w:rFonts w:hint="eastAsia" w:ascii="仿宋_GB2312" w:eastAsia="仿宋_GB2312"/>
        <w:sz w:val="32"/>
        <w:szCs w:val="32"/>
      </w:rPr>
    </w:sdtEndPr>
    <w:sdtContent>
      <w:p>
        <w:pPr>
          <w:pStyle w:val="3"/>
          <w:jc w:val="center"/>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PAGE   \* MERGEFORMAT</w:instrText>
        </w:r>
        <w:r>
          <w:rPr>
            <w:rFonts w:hint="eastAsia" w:ascii="仿宋_GB2312" w:eastAsia="仿宋_GB2312"/>
            <w:sz w:val="32"/>
            <w:szCs w:val="32"/>
          </w:rPr>
          <w:fldChar w:fldCharType="separate"/>
        </w:r>
        <w:r>
          <w:rPr>
            <w:rFonts w:ascii="仿宋_GB2312" w:eastAsia="仿宋_GB2312"/>
            <w:sz w:val="32"/>
            <w:szCs w:val="32"/>
            <w:lang w:val="zh-CN"/>
          </w:rPr>
          <w:t>-</w:t>
        </w:r>
        <w:r>
          <w:rPr>
            <w:rFonts w:ascii="仿宋_GB2312" w:eastAsia="仿宋_GB2312"/>
            <w:sz w:val="32"/>
            <w:szCs w:val="32"/>
          </w:rPr>
          <w:t xml:space="preserve"> 5 -</w:t>
        </w:r>
        <w:r>
          <w:rPr>
            <w:rFonts w:hint="eastAsia" w:ascii="仿宋_GB2312" w:eastAsia="仿宋_GB2312"/>
            <w:sz w:val="32"/>
            <w:szCs w:val="32"/>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502460"/>
    <w:multiLevelType w:val="multilevel"/>
    <w:tmpl w:val="1E502460"/>
    <w:lvl w:ilvl="0" w:tentative="0">
      <w:start w:val="1"/>
      <w:numFmt w:val="japaneseCounting"/>
      <w:lvlText w:val="%1、"/>
      <w:lvlJc w:val="left"/>
      <w:pPr>
        <w:ind w:left="1365" w:hanging="720"/>
      </w:pPr>
      <w:rPr>
        <w:rFonts w:hint="default"/>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937"/>
    <w:rsid w:val="00055AB7"/>
    <w:rsid w:val="000D382B"/>
    <w:rsid w:val="000D4A6D"/>
    <w:rsid w:val="00142F9E"/>
    <w:rsid w:val="00145E1F"/>
    <w:rsid w:val="00174D84"/>
    <w:rsid w:val="00192C13"/>
    <w:rsid w:val="001F7DBD"/>
    <w:rsid w:val="002A4076"/>
    <w:rsid w:val="002E6952"/>
    <w:rsid w:val="003B36C7"/>
    <w:rsid w:val="003E0244"/>
    <w:rsid w:val="003F5F27"/>
    <w:rsid w:val="00436F9E"/>
    <w:rsid w:val="004601BA"/>
    <w:rsid w:val="004614F8"/>
    <w:rsid w:val="00481B9F"/>
    <w:rsid w:val="004C64F5"/>
    <w:rsid w:val="004D3EEE"/>
    <w:rsid w:val="004F32ED"/>
    <w:rsid w:val="00506AC9"/>
    <w:rsid w:val="005238E7"/>
    <w:rsid w:val="005360E0"/>
    <w:rsid w:val="005410D6"/>
    <w:rsid w:val="00554F16"/>
    <w:rsid w:val="00564123"/>
    <w:rsid w:val="00567C0B"/>
    <w:rsid w:val="005A428E"/>
    <w:rsid w:val="005B24F6"/>
    <w:rsid w:val="00626BDA"/>
    <w:rsid w:val="00631117"/>
    <w:rsid w:val="0064288C"/>
    <w:rsid w:val="00652D19"/>
    <w:rsid w:val="006640FA"/>
    <w:rsid w:val="006A6D4C"/>
    <w:rsid w:val="006F772E"/>
    <w:rsid w:val="007E6F6A"/>
    <w:rsid w:val="00802610"/>
    <w:rsid w:val="008749A8"/>
    <w:rsid w:val="008944F1"/>
    <w:rsid w:val="009A27AD"/>
    <w:rsid w:val="009C6CEB"/>
    <w:rsid w:val="009D248A"/>
    <w:rsid w:val="009F43FE"/>
    <w:rsid w:val="009F5C5D"/>
    <w:rsid w:val="00A13C39"/>
    <w:rsid w:val="00AA7DF3"/>
    <w:rsid w:val="00AC1226"/>
    <w:rsid w:val="00B1181C"/>
    <w:rsid w:val="00B577F7"/>
    <w:rsid w:val="00BC4754"/>
    <w:rsid w:val="00BD50AD"/>
    <w:rsid w:val="00BD543E"/>
    <w:rsid w:val="00C15F0D"/>
    <w:rsid w:val="00C518DA"/>
    <w:rsid w:val="00CA4341"/>
    <w:rsid w:val="00D546AF"/>
    <w:rsid w:val="00D87D43"/>
    <w:rsid w:val="00D96294"/>
    <w:rsid w:val="00DA6937"/>
    <w:rsid w:val="00DB6754"/>
    <w:rsid w:val="00E02EE8"/>
    <w:rsid w:val="00E24398"/>
    <w:rsid w:val="00E51A29"/>
    <w:rsid w:val="00E807D1"/>
    <w:rsid w:val="00EA619A"/>
    <w:rsid w:val="00EC06C2"/>
    <w:rsid w:val="00EC5E8E"/>
    <w:rsid w:val="00EC7605"/>
    <w:rsid w:val="00EF5076"/>
    <w:rsid w:val="00F07F90"/>
    <w:rsid w:val="00F16396"/>
    <w:rsid w:val="00F41A1F"/>
    <w:rsid w:val="00FA0014"/>
    <w:rsid w:val="00FD75B2"/>
    <w:rsid w:val="09344FF2"/>
    <w:rsid w:val="168B140C"/>
    <w:rsid w:val="185C0D40"/>
    <w:rsid w:val="20ED3B94"/>
    <w:rsid w:val="227F6529"/>
    <w:rsid w:val="419E199D"/>
    <w:rsid w:val="50C75416"/>
    <w:rsid w:val="512B513A"/>
    <w:rsid w:val="62B32B7E"/>
    <w:rsid w:val="631D47AB"/>
    <w:rsid w:val="75D96D69"/>
    <w:rsid w:val="78A21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semiHidden/>
    <w:unhideWhenUsed/>
    <w:uiPriority w:val="99"/>
    <w:rPr>
      <w:color w:val="0000FF"/>
      <w:u w:val="single"/>
    </w:rPr>
  </w:style>
  <w:style w:type="character" w:customStyle="1" w:styleId="9">
    <w:name w:val="页脚 Char"/>
    <w:basedOn w:val="6"/>
    <w:link w:val="3"/>
    <w:uiPriority w:val="99"/>
    <w:rPr>
      <w:sz w:val="18"/>
      <w:szCs w:val="18"/>
    </w:rPr>
  </w:style>
  <w:style w:type="character" w:customStyle="1" w:styleId="10">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chart" Target="charts/chart5.xml"/><Relationship Id="rId17" Type="http://schemas.openxmlformats.org/officeDocument/2006/relationships/chart" Target="charts/chart4.xml"/><Relationship Id="rId16" Type="http://schemas.openxmlformats.org/officeDocument/2006/relationships/chart" Target="charts/chart3.xml"/><Relationship Id="rId15" Type="http://schemas.openxmlformats.org/officeDocument/2006/relationships/chart" Target="charts/chart2.xml"/><Relationship Id="rId14" Type="http://schemas.openxmlformats.org/officeDocument/2006/relationships/chart" Target="charts/chart1.xml"/><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oleObject" Target="file:///D:\2024&#24180;&#20915;&#31639;&#25253;&#21578;\2023&#20915;&#31639;&#25253;&#34920;&#22270;&#34920;.xlsx" TargetMode="External"/></Relationships>
</file>

<file path=word/charts/_rels/chart2.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oleObject" Target="file:///D:\2024&#24180;&#20915;&#31639;&#25253;&#21578;\2023&#20915;&#31639;&#25253;&#34920;&#22270;&#34920;.xlsx" TargetMode="External"/></Relationships>
</file>

<file path=word/charts/_rels/chart3.xml.rels><?xml version="1.0" encoding="UTF-8" standalone="yes"?>
<Relationships xmlns="http://schemas.openxmlformats.org/package/2006/relationships"><Relationship Id="rId2" Type="http://schemas.openxmlformats.org/officeDocument/2006/relationships/themeOverride" Target="../theme/themeOverride3.xml"/><Relationship Id="rId1" Type="http://schemas.openxmlformats.org/officeDocument/2006/relationships/oleObject" Target="file:///D:\2024&#24180;&#20915;&#31639;&#25253;&#21578;\2023&#20915;&#31639;&#25253;&#34920;&#22270;&#34920;.xlsx" TargetMode="External"/></Relationships>
</file>

<file path=word/charts/_rels/chart4.xml.rels><?xml version="1.0" encoding="UTF-8" standalone="yes"?>
<Relationships xmlns="http://schemas.openxmlformats.org/package/2006/relationships"><Relationship Id="rId2" Type="http://schemas.openxmlformats.org/officeDocument/2006/relationships/themeOverride" Target="../theme/themeOverride4.xml"/><Relationship Id="rId1" Type="http://schemas.openxmlformats.org/officeDocument/2006/relationships/oleObject" Target="file:///D:\2024&#24180;&#20915;&#31639;&#25253;&#21578;\2023&#20915;&#31639;&#25253;&#34920;&#22270;&#34920;.xlsx" TargetMode="External"/></Relationships>
</file>

<file path=word/charts/_rels/chart5.xml.rels><?xml version="1.0" encoding="UTF-8" standalone="yes"?>
<Relationships xmlns="http://schemas.openxmlformats.org/package/2006/relationships"><Relationship Id="rId2" Type="http://schemas.openxmlformats.org/officeDocument/2006/relationships/themeOverride" Target="../theme/themeOverride5.xml"/><Relationship Id="rId1" Type="http://schemas.openxmlformats.org/officeDocument/2006/relationships/oleObject" Target="file:///D:\2024&#24180;&#20915;&#31639;&#25253;&#21578;\2023&#20915;&#31639;&#25253;&#34920;&#22270;&#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zh-CN" sz="1440" b="1" i="0" u="none" strike="noStrike" kern="1200" baseline="0">
                <a:solidFill>
                  <a:schemeClr val="tx1"/>
                </a:solidFill>
                <a:latin typeface="+mn-lt"/>
                <a:ea typeface="+mn-ea"/>
                <a:cs typeface="+mn-cs"/>
              </a:defRPr>
            </a:pPr>
            <a:r>
              <a:rPr lang="en-US" altLang="zh-CN" sz="1440">
                <a:latin typeface="仿宋_GB2312" panose="02010609030101010101" pitchFamily="3" charset="-122"/>
                <a:ea typeface="仿宋_GB2312" panose="02010609030101010101" pitchFamily="3" charset="-122"/>
                <a:cs typeface="仿宋_GB2312" panose="02010609030101010101" pitchFamily="3" charset="-122"/>
              </a:rPr>
              <a:t>2024</a:t>
            </a:r>
            <a:r>
              <a:rPr lang="zh-CN" altLang="en-US" sz="1440">
                <a:latin typeface="仿宋_GB2312" panose="02010609030101010101" pitchFamily="3" charset="-122"/>
                <a:ea typeface="仿宋_GB2312" panose="02010609030101010101" pitchFamily="3" charset="-122"/>
                <a:cs typeface="仿宋_GB2312" panose="02010609030101010101" pitchFamily="3" charset="-122"/>
              </a:rPr>
              <a:t>年各项收入所占比重</a:t>
            </a:r>
            <a:endParaRPr lang="zh-CN" altLang="en-US" sz="1440">
              <a:latin typeface="仿宋_GB2312" panose="02010609030101010101" pitchFamily="3" charset="-122"/>
              <a:ea typeface="仿宋_GB2312" panose="02010609030101010101" pitchFamily="3" charset="-122"/>
              <a:cs typeface="仿宋_GB2312" panose="02010609030101010101" pitchFamily="3" charset="-122"/>
            </a:endParaRPr>
          </a:p>
        </c:rich>
      </c:tx>
      <c:layout>
        <c:manualLayout>
          <c:xMode val="edge"/>
          <c:yMode val="edge"/>
          <c:x val="0.307966419391457"/>
          <c:y val="0.0441814681596901"/>
        </c:manualLayout>
      </c:layout>
      <c:overlay val="0"/>
    </c:title>
    <c:autoTitleDeleted val="0"/>
    <c:plotArea>
      <c:layout>
        <c:manualLayout>
          <c:layoutTarget val="inner"/>
          <c:xMode val="edge"/>
          <c:yMode val="edge"/>
          <c:x val="0.0957632688258465"/>
          <c:y val="0.211799854805383"/>
          <c:w val="0.414049397671445"/>
          <c:h val="0.694534473513391"/>
        </c:manualLayout>
      </c:layout>
      <c:pieChart>
        <c:varyColors val="1"/>
        <c:ser>
          <c:idx val="0"/>
          <c:order val="0"/>
          <c:explosion val="0"/>
          <c:dPt>
            <c:idx val="0"/>
            <c:bubble3D val="0"/>
          </c:dPt>
          <c:dPt>
            <c:idx val="1"/>
            <c:bubble3D val="0"/>
          </c:dPt>
          <c:dPt>
            <c:idx val="2"/>
            <c:bubble3D val="0"/>
          </c:dPt>
          <c:dLbls>
            <c:dLbl>
              <c:idx val="0"/>
              <c:layout>
                <c:manualLayout>
                  <c:x val="-0.0806580409055321"/>
                  <c:y val="-0.244103027136919"/>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0464258471141483"/>
                  <c:y val="0.133254078394929"/>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0766694638484787"/>
                  <c:y val="-0.0197582683006646"/>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chemeClr val="tx1"/>
                    </a:solidFill>
                    <a:latin typeface="仿宋_GB2312" panose="02010609030101010101" pitchFamily="3" charset="-122"/>
                    <a:ea typeface="仿宋_GB2312" panose="02010609030101010101" pitchFamily="3" charset="-122"/>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'[2023决算报表图表.xlsx]2024年'!$A$50:$A$52</c:f>
              <c:strCache>
                <c:ptCount val="3"/>
                <c:pt idx="0">
                  <c:v>财政拨款收入1251.78万元</c:v>
                </c:pt>
                <c:pt idx="1">
                  <c:v>事业收入164.95万元</c:v>
                </c:pt>
                <c:pt idx="2">
                  <c:v>其他收入23.77万元</c:v>
                </c:pt>
              </c:strCache>
            </c:strRef>
          </c:cat>
          <c:val>
            <c:numRef>
              <c:f>'[2023决算报表图表.xlsx]2024年'!$B$50:$B$52</c:f>
              <c:numCache>
                <c:formatCode>General</c:formatCode>
                <c:ptCount val="3"/>
                <c:pt idx="0">
                  <c:v>1251.78</c:v>
                </c:pt>
                <c:pt idx="1">
                  <c:v>164.95</c:v>
                </c:pt>
                <c:pt idx="2">
                  <c:v>23.77</c:v>
                </c:pt>
              </c:numCache>
            </c:numRef>
          </c:val>
        </c:ser>
        <c:dLbls>
          <c:showLegendKey val="0"/>
          <c:showVal val="0"/>
          <c:showCatName val="0"/>
          <c:showSerName val="0"/>
          <c:showPercent val="1"/>
          <c:showBubbleSize val="0"/>
          <c:showLeaderLines val="1"/>
        </c:dLbls>
        <c:firstSliceAng val="0"/>
      </c:pieChart>
    </c:plotArea>
    <c:legend>
      <c:legendPos val="r"/>
      <c:legendEntry>
        <c:idx val="0"/>
        <c:txPr>
          <a:bodyPr rot="0" spcFirstLastPara="0" vertOverflow="ellipsis" vert="horz" wrap="square" anchor="ctr" anchorCtr="1"/>
          <a:lstStyle/>
          <a:p>
            <a:pPr>
              <a:defRPr lang="zh-CN" sz="1200" b="0" i="0" u="none" strike="noStrike" kern="1200" baseline="0">
                <a:solidFill>
                  <a:schemeClr val="tx1"/>
                </a:solidFill>
                <a:latin typeface="仿宋_GB2312" panose="02010609030101010101" pitchFamily="3" charset="-122"/>
                <a:ea typeface="仿宋_GB2312" panose="02010609030101010101" pitchFamily="3" charset="-122"/>
                <a:cs typeface="+mn-cs"/>
              </a:defRPr>
            </a:pPr>
          </a:p>
        </c:txPr>
      </c:legendEntry>
      <c:legendEntry>
        <c:idx val="1"/>
        <c:txPr>
          <a:bodyPr rot="0" spcFirstLastPara="0" vertOverflow="ellipsis" vert="horz" wrap="square" anchor="ctr" anchorCtr="1"/>
          <a:lstStyle/>
          <a:p>
            <a:pPr>
              <a:defRPr lang="zh-CN" sz="1200" b="0" i="0" u="none" strike="noStrike" kern="1200" baseline="0">
                <a:solidFill>
                  <a:schemeClr val="tx1"/>
                </a:solidFill>
                <a:latin typeface="仿宋_GB2312" panose="02010609030101010101" pitchFamily="3" charset="-122"/>
                <a:ea typeface="仿宋_GB2312" panose="02010609030101010101" pitchFamily="3" charset="-122"/>
                <a:cs typeface="+mn-cs"/>
              </a:defRPr>
            </a:pPr>
          </a:p>
        </c:txPr>
      </c:legendEntry>
      <c:legendEntry>
        <c:idx val="2"/>
        <c:txPr>
          <a:bodyPr rot="0" spcFirstLastPara="0" vertOverflow="ellipsis" vert="horz" wrap="square" anchor="ctr" anchorCtr="1"/>
          <a:lstStyle/>
          <a:p>
            <a:pPr>
              <a:defRPr lang="zh-CN" sz="1200" b="0" i="0" u="none" strike="noStrike" kern="1200" baseline="0">
                <a:solidFill>
                  <a:schemeClr val="tx1"/>
                </a:solidFill>
                <a:latin typeface="仿宋_GB2312" panose="02010609030101010101" pitchFamily="3" charset="-122"/>
                <a:ea typeface="仿宋_GB2312" panose="02010609030101010101" pitchFamily="3" charset="-122"/>
                <a:cs typeface="+mn-cs"/>
              </a:defRPr>
            </a:pPr>
          </a:p>
        </c:txPr>
      </c:legendEntry>
      <c:layout>
        <c:manualLayout>
          <c:xMode val="edge"/>
          <c:yMode val="edge"/>
          <c:x val="0.562003457701759"/>
          <c:y val="0.394597084938851"/>
          <c:w val="0.410218762483981"/>
          <c:h val="0.306484068523693"/>
        </c:manualLayout>
      </c:layout>
      <c:overlay val="0"/>
      <c:txPr>
        <a:bodyPr rot="0" spcFirstLastPara="0" vertOverflow="ellipsis" vert="horz" wrap="square" anchor="ctr" anchorCtr="1"/>
        <a:lstStyle/>
        <a:p>
          <a:pPr>
            <a:defRPr lang="zh-CN" sz="1200" b="0" i="0" u="none" strike="noStrike" kern="1200" baseline="0">
              <a:solidFill>
                <a:schemeClr val="tx1"/>
              </a:solidFill>
              <a:latin typeface="仿宋_GB2312" panose="02010609030101010101" pitchFamily="3" charset="-122"/>
              <a:ea typeface="仿宋_GB2312" panose="02010609030101010101" pitchFamily="3" charset="-122"/>
              <a:cs typeface="+mn-cs"/>
            </a:defRPr>
          </a:pPr>
        </a:p>
      </c:txPr>
    </c:legend>
    <c:plotVisOnly val="1"/>
    <c:dispBlanksAs val="gap"/>
    <c:showDLblsOverMax val="0"/>
  </c:chart>
  <c:txPr>
    <a:bodyPr/>
    <a:lstStyle/>
    <a:p>
      <a:pPr>
        <a:defRPr lang="zh-CN" sz="1200"/>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zh-CN" sz="1800" b="1" i="0" u="none" strike="noStrike" kern="1200" baseline="0">
                <a:solidFill>
                  <a:schemeClr val="tx1"/>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r>
              <a:rPr lang="en-US" altLang="zh-CN" sz="1440" b="1">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rPr>
              <a:t>2024</a:t>
            </a:r>
            <a:r>
              <a:rPr lang="zh-CN" altLang="en-US" sz="1440" b="1">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rPr>
              <a:t>年各项支出所占比重</a:t>
            </a:r>
            <a:endParaRPr lang="zh-CN" altLang="en-US" sz="1440" b="1">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endParaRPr>
          </a:p>
        </c:rich>
      </c:tx>
      <c:layout>
        <c:manualLayout>
          <c:xMode val="edge"/>
          <c:yMode val="edge"/>
          <c:x val="0.275510906082154"/>
          <c:y val="0.047268097832971"/>
        </c:manualLayout>
      </c:layout>
      <c:overlay val="0"/>
    </c:title>
    <c:autoTitleDeleted val="0"/>
    <c:plotArea>
      <c:layout>
        <c:manualLayout>
          <c:layoutTarget val="inner"/>
          <c:xMode val="edge"/>
          <c:yMode val="edge"/>
          <c:x val="0.0887544436692249"/>
          <c:y val="0.219440673364105"/>
          <c:w val="0.415730589056115"/>
          <c:h val="0.696927671839429"/>
        </c:manualLayout>
      </c:layout>
      <c:pieChart>
        <c:varyColors val="1"/>
        <c:ser>
          <c:idx val="0"/>
          <c:order val="0"/>
          <c:explosion val="0"/>
          <c:dPt>
            <c:idx val="0"/>
            <c:bubble3D val="0"/>
          </c:dPt>
          <c:dPt>
            <c:idx val="1"/>
            <c:bubble3D val="0"/>
          </c:dPt>
          <c:dLbls>
            <c:dLbl>
              <c:idx val="0"/>
              <c:layout>
                <c:manualLayout>
                  <c:x val="-0.167800209807897"/>
                  <c:y val="-0.000970683845744674"/>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152706527821669"/>
                  <c:y val="0.00354856115618975"/>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chemeClr val="tx1"/>
                    </a:solidFill>
                    <a:latin typeface="仿宋_GB2312" panose="02010609030101010101" pitchFamily="3" charset="-122"/>
                    <a:ea typeface="仿宋_GB2312" panose="02010609030101010101" pitchFamily="3" charset="-122"/>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'[2023决算报表图表.xlsx]2024年'!$A$171:$A$172</c:f>
              <c:strCache>
                <c:ptCount val="2"/>
                <c:pt idx="0">
                  <c:v>基本支出846.80万元</c:v>
                </c:pt>
                <c:pt idx="1">
                  <c:v>项目支出690.72万元</c:v>
                </c:pt>
              </c:strCache>
            </c:strRef>
          </c:cat>
          <c:val>
            <c:numRef>
              <c:f>'[2023决算报表图表.xlsx]2024年'!$B$171:$B$172</c:f>
              <c:numCache>
                <c:formatCode>General</c:formatCode>
                <c:ptCount val="2"/>
                <c:pt idx="0">
                  <c:v>846.8</c:v>
                </c:pt>
                <c:pt idx="1">
                  <c:v>690.72</c:v>
                </c:pt>
              </c:numCache>
            </c:numRef>
          </c:val>
        </c:ser>
        <c:dLbls>
          <c:showLegendKey val="0"/>
          <c:showVal val="0"/>
          <c:showCatName val="0"/>
          <c:showSerName val="0"/>
          <c:showPercent val="1"/>
          <c:showBubbleSize val="0"/>
          <c:showLeaderLines val="1"/>
        </c:dLbls>
        <c:firstSliceAng val="0"/>
      </c:pieChart>
    </c:plotArea>
    <c:legend>
      <c:legendPos val="r"/>
      <c:legendEntry>
        <c:idx val="0"/>
        <c:txPr>
          <a:bodyPr rot="0" spcFirstLastPara="0" vertOverflow="ellipsis" vert="horz" wrap="square" anchor="ctr" anchorCtr="1"/>
          <a:lstStyle/>
          <a:p>
            <a:pPr>
              <a:defRPr lang="zh-CN" sz="1200" b="0" i="0" u="none" strike="noStrike" kern="1200" baseline="0">
                <a:solidFill>
                  <a:schemeClr val="tx1"/>
                </a:solidFill>
                <a:latin typeface="仿宋_GB2312" panose="02010609030101010101" pitchFamily="3" charset="-122"/>
                <a:ea typeface="仿宋_GB2312" panose="02010609030101010101" pitchFamily="3" charset="-122"/>
                <a:cs typeface="+mn-cs"/>
              </a:defRPr>
            </a:pPr>
          </a:p>
        </c:txPr>
      </c:legendEntry>
      <c:legendEntry>
        <c:idx val="1"/>
        <c:txPr>
          <a:bodyPr rot="0" spcFirstLastPara="0" vertOverflow="ellipsis" vert="horz" wrap="square" anchor="ctr" anchorCtr="1"/>
          <a:lstStyle/>
          <a:p>
            <a:pPr>
              <a:defRPr lang="zh-CN" sz="1200" b="0" i="0" u="none" strike="noStrike" kern="1200" baseline="0">
                <a:solidFill>
                  <a:schemeClr val="tx1"/>
                </a:solidFill>
                <a:latin typeface="仿宋_GB2312" panose="02010609030101010101" pitchFamily="3" charset="-122"/>
                <a:ea typeface="仿宋_GB2312" panose="02010609030101010101" pitchFamily="3" charset="-122"/>
                <a:cs typeface="+mn-cs"/>
              </a:defRPr>
            </a:pPr>
          </a:p>
        </c:txPr>
      </c:legendEntry>
      <c:layout>
        <c:manualLayout>
          <c:xMode val="edge"/>
          <c:yMode val="edge"/>
          <c:x val="0.565183228678694"/>
          <c:y val="0.441458120122253"/>
          <c:w val="0.39774011299435"/>
          <c:h val="0.257964452056225"/>
        </c:manualLayout>
      </c:layout>
      <c:overlay val="0"/>
      <c:txPr>
        <a:bodyPr rot="0" spcFirstLastPara="0" vertOverflow="ellipsis" vert="horz" wrap="square" anchor="ctr" anchorCtr="1"/>
        <a:lstStyle/>
        <a:p>
          <a:pPr>
            <a:defRPr lang="zh-CN" sz="1200" b="0" i="0" u="none" strike="noStrike" kern="1200" baseline="0">
              <a:solidFill>
                <a:schemeClr val="tx1"/>
              </a:solidFill>
              <a:latin typeface="仿宋_GB2312" panose="02010609030101010101" pitchFamily="3" charset="-122"/>
              <a:ea typeface="仿宋_GB2312" panose="02010609030101010101" pitchFamily="3" charset="-122"/>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zh-CN" sz="1440" b="1" i="0" u="none" strike="noStrike" kern="1200" baseline="0">
                <a:solidFill>
                  <a:schemeClr val="tx1"/>
                </a:solidFill>
                <a:latin typeface="+mn-lt"/>
                <a:ea typeface="+mn-ea"/>
                <a:cs typeface="+mn-cs"/>
              </a:defRPr>
            </a:pPr>
            <a:r>
              <a:rPr lang="zh-CN" altLang="en-US" sz="1440">
                <a:latin typeface="仿宋_GB2312" panose="02010609030101010101" pitchFamily="3" charset="-122"/>
                <a:ea typeface="仿宋_GB2312" panose="02010609030101010101" pitchFamily="3" charset="-122"/>
                <a:cs typeface="仿宋_GB2312" panose="02010609030101010101" pitchFamily="3" charset="-122"/>
              </a:rPr>
              <a:t>202</a:t>
            </a:r>
            <a:r>
              <a:rPr lang="en-US" altLang="zh-CN" sz="1440">
                <a:latin typeface="仿宋_GB2312" panose="02010609030101010101" pitchFamily="3" charset="-122"/>
                <a:ea typeface="仿宋_GB2312" panose="02010609030101010101" pitchFamily="3" charset="-122"/>
                <a:cs typeface="仿宋_GB2312" panose="02010609030101010101" pitchFamily="3" charset="-122"/>
              </a:rPr>
              <a:t>4</a:t>
            </a:r>
            <a:r>
              <a:rPr lang="zh-CN" altLang="en-US" sz="1440">
                <a:latin typeface="仿宋_GB2312" panose="02010609030101010101" pitchFamily="3" charset="-122"/>
                <a:ea typeface="仿宋_GB2312" panose="02010609030101010101" pitchFamily="3" charset="-122"/>
                <a:cs typeface="仿宋_GB2312" panose="02010609030101010101" pitchFamily="3" charset="-122"/>
              </a:rPr>
              <a:t>年财政拨款收入</a:t>
            </a:r>
            <a:r>
              <a:rPr lang="zh-CN" altLang="en-US" sz="1440">
                <a:latin typeface="仿宋_GB2312" panose="02010609030101010101" pitchFamily="3" charset="-122"/>
                <a:ea typeface="仿宋_GB2312" panose="02010609030101010101" pitchFamily="3" charset="-122"/>
                <a:cs typeface="仿宋_GB2312" panose="02010609030101010101" pitchFamily="3" charset="-122"/>
              </a:rPr>
              <a:t>情况</a:t>
            </a:r>
            <a:endParaRPr lang="zh-CN" altLang="en-US" sz="1440">
              <a:latin typeface="仿宋_GB2312" panose="02010609030101010101" pitchFamily="3" charset="-122"/>
              <a:ea typeface="仿宋_GB2312" panose="02010609030101010101" pitchFamily="3" charset="-122"/>
              <a:cs typeface="仿宋_GB2312" panose="02010609030101010101" pitchFamily="3" charset="-122"/>
            </a:endParaRPr>
          </a:p>
        </c:rich>
      </c:tx>
      <c:layout>
        <c:manualLayout>
          <c:xMode val="edge"/>
          <c:yMode val="edge"/>
          <c:x val="0.299064773712535"/>
          <c:y val="0.0569261397384331"/>
        </c:manualLayout>
      </c:layout>
      <c:overlay val="0"/>
    </c:title>
    <c:autoTitleDeleted val="0"/>
    <c:plotArea>
      <c:layout>
        <c:manualLayout>
          <c:layoutTarget val="inner"/>
          <c:xMode val="edge"/>
          <c:yMode val="edge"/>
          <c:x val="0.0978898310788075"/>
          <c:y val="0.228016655304125"/>
          <c:w val="0.414049397671445"/>
          <c:h val="0.694534473513391"/>
        </c:manualLayout>
      </c:layout>
      <c:pieChart>
        <c:varyColors val="1"/>
        <c:ser>
          <c:idx val="0"/>
          <c:order val="0"/>
          <c:explosion val="0"/>
          <c:dPt>
            <c:idx val="0"/>
            <c:bubble3D val="0"/>
          </c:dPt>
          <c:dPt>
            <c:idx val="1"/>
            <c:bubble3D val="0"/>
          </c:dPt>
          <c:dPt>
            <c:idx val="2"/>
            <c:bubble3D val="0"/>
          </c:dPt>
          <c:dLbls>
            <c:dLbl>
              <c:idx val="0"/>
              <c:layout>
                <c:manualLayout>
                  <c:x val="0.0135435391083996"/>
                  <c:y val="-0.276547483032022"/>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chemeClr val="tx1"/>
                      </a:solidFill>
                      <a:latin typeface="仿宋_GB2312" panose="02010609030101010101" pitchFamily="3" charset="-122"/>
                      <a:ea typeface="仿宋_GB2312" panose="02010609030101010101" pitchFamily="3" charset="-122"/>
                      <a:cs typeface="+mn-cs"/>
                    </a:defRPr>
                  </a:pPr>
                </a:p>
              </c:txPr>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0484218899566557"/>
                  <c:y val="-0.0115976078411932"/>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chemeClr val="tx1"/>
                      </a:solidFill>
                      <a:latin typeface="仿宋_GB2312" panose="02010609030101010101" pitchFamily="3" charset="-122"/>
                      <a:ea typeface="仿宋_GB2312" panose="02010609030101010101" pitchFamily="3" charset="-122"/>
                      <a:cs typeface="+mn-cs"/>
                    </a:defRPr>
                  </a:pPr>
                </a:p>
              </c:txPr>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111374830312583"/>
                  <c:y val="0.0114503865476645"/>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chemeClr val="tx1"/>
                      </a:solidFill>
                      <a:latin typeface="仿宋_GB2312" panose="02010609030101010101" pitchFamily="3" charset="-122"/>
                      <a:ea typeface="仿宋_GB2312" panose="02010609030101010101" pitchFamily="3" charset="-122"/>
                      <a:cs typeface="+mn-cs"/>
                    </a:defRPr>
                  </a:pPr>
                </a:p>
              </c:txPr>
              <c:dLblPos val="bestFit"/>
              <c:showLegendKey val="0"/>
              <c:showVal val="0"/>
              <c:showCatName val="0"/>
              <c:showSerName val="0"/>
              <c:showPercent val="1"/>
              <c:showBubbleSize val="0"/>
              <c:extLst>
                <c:ext xmlns:c15="http://schemas.microsoft.com/office/drawing/2012/chart" uri="{CE6537A1-D6FC-4f65-9D91-7224C49458BB}">
                  <c15:layout>
                    <c:manualLayout>
                      <c:w val="0.105906522855675"/>
                      <c:h val="0.0855423646121321"/>
                    </c:manualLayout>
                  </c15:layout>
                </c:ext>
              </c:extLst>
            </c:dLbl>
            <c:numFmt formatCode="#,##0.00_);[Red]\(#,##0.00\)" sourceLinked="0"/>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chemeClr val="tx1"/>
                    </a:solidFill>
                    <a:latin typeface="仿宋_GB2312" panose="02010609030101010101" pitchFamily="3" charset="-122"/>
                    <a:ea typeface="仿宋_GB2312" panose="02010609030101010101" pitchFamily="3" charset="-122"/>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'[2023决算报表图表.xlsx]2024年'!$A$24:$A$26</c:f>
              <c:strCache>
                <c:ptCount val="3"/>
                <c:pt idx="0">
                  <c:v>当年财政拨款收入1251.78万元</c:v>
                </c:pt>
                <c:pt idx="1">
                  <c:v>上年结转68.18万元</c:v>
                </c:pt>
              </c:strCache>
            </c:strRef>
          </c:cat>
          <c:val>
            <c:numRef>
              <c:f>'[2023决算报表图表.xlsx]2024年'!$B$24:$B$26</c:f>
              <c:numCache>
                <c:formatCode>General</c:formatCode>
                <c:ptCount val="3"/>
                <c:pt idx="0">
                  <c:v>1251.78</c:v>
                </c:pt>
                <c:pt idx="1">
                  <c:v>68.18</c:v>
                </c:pt>
              </c:numCache>
            </c:numRef>
          </c:val>
        </c:ser>
        <c:dLbls>
          <c:showLegendKey val="0"/>
          <c:showVal val="0"/>
          <c:showCatName val="0"/>
          <c:showSerName val="0"/>
          <c:showPercent val="1"/>
          <c:showBubbleSize val="0"/>
          <c:showLeaderLines val="1"/>
        </c:dLbls>
        <c:firstSliceAng val="0"/>
      </c:pieChart>
    </c:plotArea>
    <c:legend>
      <c:legendPos val="r"/>
      <c:legendEntry>
        <c:idx val="0"/>
        <c:txPr>
          <a:bodyPr rot="0" spcFirstLastPara="0" vertOverflow="ellipsis" vert="horz" wrap="square" anchor="ctr" anchorCtr="1"/>
          <a:lstStyle/>
          <a:p>
            <a:pPr>
              <a:defRPr lang="zh-CN" sz="1200" b="0" i="0" u="none" strike="noStrike" kern="1200" baseline="0">
                <a:solidFill>
                  <a:schemeClr val="tx1"/>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legendEntry>
      <c:legendEntry>
        <c:idx val="1"/>
        <c:txPr>
          <a:bodyPr rot="0" spcFirstLastPara="0" vertOverflow="ellipsis" vert="horz" wrap="square" anchor="ctr" anchorCtr="1"/>
          <a:lstStyle/>
          <a:p>
            <a:pPr>
              <a:defRPr lang="zh-CN" sz="1200" b="0" i="0" u="none" strike="noStrike" kern="1200" baseline="0">
                <a:solidFill>
                  <a:schemeClr val="tx1"/>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legendEntry>
      <c:legendEntry>
        <c:idx val="2"/>
        <c:delete val="1"/>
      </c:legendEntry>
      <c:layout>
        <c:manualLayout>
          <c:xMode val="edge"/>
          <c:yMode val="edge"/>
          <c:x val="0.542783769902414"/>
          <c:y val="0.422236401339927"/>
          <c:w val="0.43256291730868"/>
          <c:h val="0.29255064603605"/>
        </c:manualLayout>
      </c:layout>
      <c:overlay val="0"/>
      <c:txPr>
        <a:bodyPr rot="0" spcFirstLastPara="0" vertOverflow="ellipsis" vert="horz" wrap="square" anchor="ctr" anchorCtr="1"/>
        <a:lstStyle/>
        <a:p>
          <a:pPr>
            <a:defRPr lang="zh-CN" sz="1200" b="0" i="0" u="none" strike="noStrike" kern="1200" baseline="0">
              <a:solidFill>
                <a:schemeClr val="tx1"/>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legend>
    <c:plotVisOnly val="1"/>
    <c:dispBlanksAs val="gap"/>
    <c:showDLblsOverMax val="0"/>
  </c:chart>
  <c:txPr>
    <a:bodyPr/>
    <a:lstStyle/>
    <a:p>
      <a:pPr>
        <a:defRPr lang="zh-CN" sz="1440"/>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zh-CN" sz="1440" b="1" i="0" u="none" strike="noStrike" kern="1200" baseline="0">
                <a:solidFill>
                  <a:schemeClr val="tx1"/>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r>
              <a:rPr lang="en-US" altLang="zh-CN" sz="1440" b="1">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rPr>
              <a:t>2024</a:t>
            </a:r>
            <a:r>
              <a:rPr lang="zh-CN" altLang="en-US" sz="1440" b="1">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rPr>
              <a:t>年财政拨款支出情况</a:t>
            </a:r>
            <a:endParaRPr lang="zh-CN" altLang="en-US" sz="1440" b="1">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endParaRPr>
          </a:p>
        </c:rich>
      </c:tx>
      <c:layout>
        <c:manualLayout>
          <c:xMode val="edge"/>
          <c:yMode val="edge"/>
          <c:x val="0.311236529053155"/>
          <c:y val="0.0488399544195974"/>
        </c:manualLayout>
      </c:layout>
      <c:overlay val="0"/>
    </c:title>
    <c:autoTitleDeleted val="0"/>
    <c:plotArea>
      <c:layout>
        <c:manualLayout>
          <c:layoutTarget val="inner"/>
          <c:xMode val="edge"/>
          <c:yMode val="edge"/>
          <c:x val="0.0842359177128036"/>
          <c:y val="0.235579007916118"/>
          <c:w val="0.415730589056115"/>
          <c:h val="0.696927671839429"/>
        </c:manualLayout>
      </c:layout>
      <c:pieChart>
        <c:varyColors val="1"/>
        <c:ser>
          <c:idx val="0"/>
          <c:order val="0"/>
          <c:explosion val="0"/>
          <c:dPt>
            <c:idx val="0"/>
            <c:bubble3D val="0"/>
          </c:dPt>
          <c:dPt>
            <c:idx val="1"/>
            <c:bubble3D val="0"/>
          </c:dPt>
          <c:dPt>
            <c:idx val="2"/>
            <c:bubble3D val="0"/>
          </c:dPt>
          <c:dPt>
            <c:idx val="3"/>
            <c:bubble3D val="0"/>
          </c:dPt>
          <c:dLbls>
            <c:dLbl>
              <c:idx val="0"/>
              <c:layout>
                <c:manualLayout>
                  <c:x val="0.0518123866263341"/>
                  <c:y val="0.00671247962416921"/>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000762088010315844"/>
                  <c:y val="-0.209375153950205"/>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0720883998579226"/>
                  <c:y val="0.0429406520659796"/>
                </c:manualLayout>
              </c:layout>
              <c:dLblPos val="bestFit"/>
              <c:showLegendKey val="0"/>
              <c:showVal val="0"/>
              <c:showCatName val="0"/>
              <c:showSerName val="0"/>
              <c:showPercent val="1"/>
              <c:showBubbleSize val="0"/>
              <c:extLst>
                <c:ext xmlns:c15="http://schemas.microsoft.com/office/drawing/2012/chart" uri="{CE6537A1-D6FC-4f65-9D91-7224C49458BB}">
                  <c15:layout>
                    <c:manualLayout>
                      <c:w val="0.114429361488185"/>
                      <c:h val="0.0970858154886492"/>
                    </c:manualLayout>
                  </c15:layout>
                </c:ext>
              </c:extLst>
            </c:dLbl>
            <c:dLbl>
              <c:idx val="3"/>
              <c:layout>
                <c:manualLayout>
                  <c:x val="-0.0344155843314919"/>
                  <c:y val="-0.0338932398647576"/>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chemeClr val="tx1"/>
                    </a:solidFill>
                    <a:latin typeface="仿宋_GB2312" panose="02010609030101010101" pitchFamily="3" charset="-122"/>
                    <a:ea typeface="仿宋_GB2312" panose="02010609030101010101" pitchFamily="3" charset="-122"/>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'[2023决算报表图表.xlsx]2024公开'!$A$30:$A$33</c:f>
              <c:strCache>
                <c:ptCount val="4"/>
                <c:pt idx="0">
                  <c:v>社会保障和就业支出91.91万元</c:v>
                </c:pt>
                <c:pt idx="1">
                  <c:v>卫生健康支出1115.47万元</c:v>
                </c:pt>
                <c:pt idx="2">
                  <c:v>住房保障支出65.63万元</c:v>
                </c:pt>
                <c:pt idx="3">
                  <c:v>年末财政拨款结转和结余46.94万元</c:v>
                </c:pt>
              </c:strCache>
            </c:strRef>
          </c:cat>
          <c:val>
            <c:numRef>
              <c:f>'[2023决算报表图表.xlsx]2024公开'!$B$30:$B$33</c:f>
              <c:numCache>
                <c:formatCode>General</c:formatCode>
                <c:ptCount val="4"/>
                <c:pt idx="0">
                  <c:v>91.91</c:v>
                </c:pt>
                <c:pt idx="1">
                  <c:v>1115.47</c:v>
                </c:pt>
                <c:pt idx="2">
                  <c:v>65.63</c:v>
                </c:pt>
                <c:pt idx="3">
                  <c:v>46.94</c:v>
                </c:pt>
              </c:numCache>
            </c:numRef>
          </c:val>
        </c:ser>
        <c:dLbls>
          <c:showLegendKey val="0"/>
          <c:showVal val="0"/>
          <c:showCatName val="0"/>
          <c:showSerName val="0"/>
          <c:showPercent val="1"/>
          <c:showBubbleSize val="0"/>
          <c:showLeaderLines val="1"/>
        </c:dLbls>
        <c:firstSliceAng val="0"/>
      </c:pieChart>
    </c:plotArea>
    <c:legend>
      <c:legendPos val="r"/>
      <c:legendEntry>
        <c:idx val="0"/>
        <c:txPr>
          <a:bodyPr rot="0" spcFirstLastPara="0" vertOverflow="ellipsis" vert="horz" wrap="square" anchor="ctr" anchorCtr="1"/>
          <a:lstStyle/>
          <a:p>
            <a:pPr>
              <a:defRPr lang="zh-CN" sz="1200" b="0" i="0" u="none" strike="noStrike" kern="1200" baseline="0">
                <a:solidFill>
                  <a:schemeClr val="tx1"/>
                </a:solidFill>
                <a:latin typeface="仿宋_GB2312" panose="02010609030101010101" pitchFamily="3" charset="-122"/>
                <a:ea typeface="仿宋_GB2312" panose="02010609030101010101" pitchFamily="3" charset="-122"/>
                <a:cs typeface="+mn-cs"/>
              </a:defRPr>
            </a:pPr>
          </a:p>
        </c:txPr>
      </c:legendEntry>
      <c:legendEntry>
        <c:idx val="1"/>
        <c:txPr>
          <a:bodyPr rot="0" spcFirstLastPara="0" vertOverflow="ellipsis" vert="horz" wrap="square" anchor="ctr" anchorCtr="1"/>
          <a:lstStyle/>
          <a:p>
            <a:pPr>
              <a:defRPr lang="zh-CN" sz="1200" b="0" i="0" u="none" strike="noStrike" kern="1200" baseline="0">
                <a:solidFill>
                  <a:schemeClr val="tx1"/>
                </a:solidFill>
                <a:latin typeface="仿宋_GB2312" panose="02010609030101010101" pitchFamily="3" charset="-122"/>
                <a:ea typeface="仿宋_GB2312" panose="02010609030101010101" pitchFamily="3" charset="-122"/>
                <a:cs typeface="+mn-cs"/>
              </a:defRPr>
            </a:pPr>
          </a:p>
        </c:txPr>
      </c:legendEntry>
      <c:legendEntry>
        <c:idx val="2"/>
        <c:txPr>
          <a:bodyPr rot="0" spcFirstLastPara="0" vertOverflow="ellipsis" vert="horz" wrap="square" anchor="ctr" anchorCtr="1"/>
          <a:lstStyle/>
          <a:p>
            <a:pPr>
              <a:defRPr lang="zh-CN" sz="1200" b="0" i="0" u="none" strike="noStrike" kern="1200" baseline="0">
                <a:solidFill>
                  <a:schemeClr val="tx1"/>
                </a:solidFill>
                <a:latin typeface="仿宋_GB2312" panose="02010609030101010101" pitchFamily="3" charset="-122"/>
                <a:ea typeface="仿宋_GB2312" panose="02010609030101010101" pitchFamily="3" charset="-122"/>
                <a:cs typeface="+mn-cs"/>
              </a:defRPr>
            </a:pPr>
          </a:p>
        </c:txPr>
      </c:legendEntry>
      <c:legendEntry>
        <c:idx val="3"/>
        <c:txPr>
          <a:bodyPr rot="0" spcFirstLastPara="0" vertOverflow="ellipsis" vert="horz" wrap="square" anchor="ctr" anchorCtr="1"/>
          <a:lstStyle/>
          <a:p>
            <a:pPr>
              <a:defRPr lang="zh-CN" sz="1200" b="0" i="0" u="none" strike="noStrike" kern="1200" baseline="0">
                <a:solidFill>
                  <a:schemeClr val="tx1"/>
                </a:solidFill>
                <a:latin typeface="仿宋_GB2312" panose="02010609030101010101" pitchFamily="3" charset="-122"/>
                <a:ea typeface="仿宋_GB2312" panose="02010609030101010101" pitchFamily="3" charset="-122"/>
                <a:cs typeface="+mn-cs"/>
              </a:defRPr>
            </a:pPr>
          </a:p>
        </c:txPr>
      </c:legendEntry>
      <c:layout>
        <c:manualLayout>
          <c:xMode val="edge"/>
          <c:yMode val="edge"/>
          <c:x val="0.521555876685935"/>
          <c:y val="0.352487466255303"/>
          <c:w val="0.473747591522158"/>
          <c:h val="0.435981488623216"/>
        </c:manualLayout>
      </c:layout>
      <c:overlay val="0"/>
      <c:txPr>
        <a:bodyPr rot="0" spcFirstLastPara="0" vertOverflow="ellipsis" vert="horz" wrap="square" anchor="ctr" anchorCtr="1"/>
        <a:lstStyle/>
        <a:p>
          <a:pPr>
            <a:defRPr lang="zh-CN" sz="1200" b="0" i="0" u="none" strike="noStrike" kern="1200" baseline="0">
              <a:solidFill>
                <a:schemeClr val="tx1"/>
              </a:solidFill>
              <a:latin typeface="仿宋_GB2312" panose="02010609030101010101" pitchFamily="3" charset="-122"/>
              <a:ea typeface="仿宋_GB2312" panose="02010609030101010101" pitchFamily="3" charset="-122"/>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zh-CN" sz="1440" b="1" i="0" u="none" strike="noStrike" kern="1200" baseline="0">
                <a:solidFill>
                  <a:schemeClr val="tx1"/>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r>
              <a:rPr lang="en-US" altLang="zh-CN" sz="1440" b="1">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rPr>
              <a:t>2024</a:t>
            </a:r>
            <a:r>
              <a:rPr lang="zh-CN" altLang="en-US" sz="1440" b="1">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rPr>
              <a:t>年度一般公共预算财政拨款基本支出情况</a:t>
            </a:r>
            <a:endParaRPr lang="zh-CN" altLang="en-US" sz="1440" b="1">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endParaRPr>
          </a:p>
        </c:rich>
      </c:tx>
      <c:layout>
        <c:manualLayout>
          <c:xMode val="edge"/>
          <c:yMode val="edge"/>
          <c:x val="0.156999516073649"/>
          <c:y val="0.0463051254348418"/>
        </c:manualLayout>
      </c:layout>
      <c:overlay val="0"/>
    </c:title>
    <c:autoTitleDeleted val="0"/>
    <c:plotArea>
      <c:layout>
        <c:manualLayout>
          <c:layoutTarget val="inner"/>
          <c:xMode val="edge"/>
          <c:yMode val="edge"/>
          <c:x val="0.0887544436692249"/>
          <c:y val="0.219440673364105"/>
          <c:w val="0.415730589056115"/>
          <c:h val="0.696927671839429"/>
        </c:manualLayout>
      </c:layout>
      <c:pieChart>
        <c:varyColors val="1"/>
        <c:ser>
          <c:idx val="0"/>
          <c:order val="0"/>
          <c:explosion val="0"/>
          <c:dPt>
            <c:idx val="0"/>
            <c:bubble3D val="0"/>
          </c:dPt>
          <c:dPt>
            <c:idx val="1"/>
            <c:bubble3D val="0"/>
          </c:dPt>
          <c:dLbls>
            <c:dLbl>
              <c:idx val="0"/>
              <c:layout>
                <c:manualLayout>
                  <c:x val="-0.0751198517246956"/>
                  <c:y val="-0.23910926055709"/>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0530616420903458"/>
                  <c:y val="-0.0046770536054819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chemeClr val="tx1"/>
                    </a:solidFill>
                    <a:latin typeface="仿宋_GB2312" panose="02010609030101010101" pitchFamily="3" charset="-122"/>
                    <a:ea typeface="仿宋_GB2312" panose="02010609030101010101" pitchFamily="3" charset="-122"/>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'[2023决算报表图表.xlsx]2024公开'!$A$52:$A$53</c:f>
              <c:strCache>
                <c:ptCount val="2"/>
                <c:pt idx="0">
                  <c:v>人员经费491.43万元</c:v>
                </c:pt>
                <c:pt idx="1">
                  <c:v>公用经费90.87万元</c:v>
                </c:pt>
              </c:strCache>
            </c:strRef>
          </c:cat>
          <c:val>
            <c:numRef>
              <c:f>'[2023决算报表图表.xlsx]2024公开'!$B$52:$B$53</c:f>
              <c:numCache>
                <c:formatCode>General</c:formatCode>
                <c:ptCount val="2"/>
                <c:pt idx="0">
                  <c:v>491.43</c:v>
                </c:pt>
                <c:pt idx="1">
                  <c:v>90.87</c:v>
                </c:pt>
              </c:numCache>
            </c:numRef>
          </c:val>
        </c:ser>
        <c:dLbls>
          <c:showLegendKey val="0"/>
          <c:showVal val="0"/>
          <c:showCatName val="0"/>
          <c:showSerName val="0"/>
          <c:showPercent val="1"/>
          <c:showBubbleSize val="0"/>
          <c:showLeaderLines val="1"/>
        </c:dLbls>
        <c:firstSliceAng val="0"/>
      </c:pieChart>
    </c:plotArea>
    <c:legend>
      <c:legendPos val="r"/>
      <c:legendEntry>
        <c:idx val="0"/>
        <c:txPr>
          <a:bodyPr rot="0" spcFirstLastPara="0" vertOverflow="ellipsis" vert="horz" wrap="square" anchor="ctr" anchorCtr="1"/>
          <a:lstStyle/>
          <a:p>
            <a:pPr>
              <a:defRPr lang="zh-CN" sz="1200" b="0" i="0" u="none" strike="noStrike" kern="1200" baseline="0">
                <a:solidFill>
                  <a:schemeClr val="tx1"/>
                </a:solidFill>
                <a:latin typeface="仿宋_GB2312" panose="02010609030101010101" pitchFamily="3" charset="-122"/>
                <a:ea typeface="仿宋_GB2312" panose="02010609030101010101" pitchFamily="3" charset="-122"/>
                <a:cs typeface="+mn-cs"/>
              </a:defRPr>
            </a:pPr>
          </a:p>
        </c:txPr>
      </c:legendEntry>
      <c:legendEntry>
        <c:idx val="1"/>
        <c:txPr>
          <a:bodyPr rot="0" spcFirstLastPara="0" vertOverflow="ellipsis" vert="horz" wrap="square" anchor="ctr" anchorCtr="1"/>
          <a:lstStyle/>
          <a:p>
            <a:pPr>
              <a:defRPr lang="zh-CN" sz="1200" b="0" i="0" u="none" strike="noStrike" kern="1200" baseline="0">
                <a:solidFill>
                  <a:schemeClr val="tx1"/>
                </a:solidFill>
                <a:latin typeface="仿宋_GB2312" panose="02010609030101010101" pitchFamily="3" charset="-122"/>
                <a:ea typeface="仿宋_GB2312" panose="02010609030101010101" pitchFamily="3" charset="-122"/>
                <a:cs typeface="+mn-cs"/>
              </a:defRPr>
            </a:pPr>
          </a:p>
        </c:txPr>
      </c:legendEntry>
      <c:layout>
        <c:manualLayout>
          <c:xMode val="edge"/>
          <c:yMode val="edge"/>
          <c:x val="0.565183228678694"/>
          <c:y val="0.441458120122253"/>
          <c:w val="0.39774011299435"/>
          <c:h val="0.257964452056225"/>
        </c:manualLayout>
      </c:layout>
      <c:overlay val="0"/>
      <c:txPr>
        <a:bodyPr rot="0" spcFirstLastPara="0" vertOverflow="ellipsis" vert="horz" wrap="square" anchor="ctr" anchorCtr="1"/>
        <a:lstStyle/>
        <a:p>
          <a:pPr>
            <a:defRPr lang="zh-CN" sz="1200" b="0" i="0" u="none" strike="noStrike" kern="1200" baseline="0">
              <a:solidFill>
                <a:schemeClr val="tx1"/>
              </a:solidFill>
              <a:latin typeface="仿宋_GB2312" panose="02010609030101010101" pitchFamily="3" charset="-122"/>
              <a:ea typeface="仿宋_GB2312" panose="02010609030101010101" pitchFamily="3" charset="-122"/>
              <a:cs typeface="+mn-cs"/>
            </a:defRPr>
          </a:pPr>
        </a:p>
      </c:txPr>
    </c:legend>
    <c:plotVisOnly val="1"/>
    <c:dispBlanksAs val="gap"/>
    <c:showDLblsOverMax val="0"/>
  </c:chart>
  <c:txPr>
    <a:bodyPr/>
    <a:lstStyle/>
    <a:p>
      <a:pPr>
        <a:defRPr lang="zh-CN" sz="1440"/>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Pages>17</Pages>
  <Words>2947</Words>
  <Characters>3258</Characters>
  <Lines>24</Lines>
  <Paragraphs>6</Paragraphs>
  <TotalTime>27</TotalTime>
  <ScaleCrop>false</ScaleCrop>
  <LinksUpToDate>false</LinksUpToDate>
  <CharactersWithSpaces>3290</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2023-08-02T06:24:00Z</dcterms:created>
  <dc:creator>一切顺利</dc:creator>
  <cp:lastModifiedBy>Acer</cp:lastModifiedBy>
  <cp:lastPrinted>2025-08-15T09:03:32Z</cp:lastPrinted>
  <dcterms:modified xsi:type="dcterms:W3CDTF">2025-08-15T09:25:33Z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F5F7F99978524265A177D3906F716C91</vt:lpwstr>
  </property>
</Properties>
</file>