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EB9" w:rsidRDefault="00D62EB9">
      <w:pPr>
        <w:pStyle w:val="a6"/>
        <w:shd w:val="clear" w:color="auto" w:fill="FFFFFF"/>
        <w:spacing w:line="560" w:lineRule="exact"/>
        <w:jc w:val="center"/>
        <w:rPr>
          <w:rStyle w:val="a7"/>
          <w:rFonts w:ascii="方正公文小标宋" w:eastAsia="方正公文小标宋" w:hAnsi="方正公文小标宋"/>
          <w:b w:val="0"/>
          <w:color w:val="000000"/>
          <w:sz w:val="44"/>
          <w:szCs w:val="44"/>
        </w:rPr>
      </w:pPr>
    </w:p>
    <w:p w:rsidR="00D62EB9" w:rsidRDefault="00D27420">
      <w:pPr>
        <w:pStyle w:val="a6"/>
        <w:shd w:val="clear" w:color="auto" w:fill="FFFFFF"/>
        <w:spacing w:line="560" w:lineRule="exact"/>
        <w:jc w:val="center"/>
        <w:rPr>
          <w:rStyle w:val="a7"/>
          <w:rFonts w:ascii="方正公文小标宋" w:eastAsia="方正公文小标宋" w:hAnsi="方正公文小标宋"/>
          <w:b w:val="0"/>
          <w:color w:val="000000"/>
          <w:sz w:val="44"/>
          <w:szCs w:val="44"/>
        </w:rPr>
      </w:pPr>
      <w:r>
        <w:rPr>
          <w:rStyle w:val="a7"/>
          <w:rFonts w:ascii="方正公文小标宋" w:eastAsia="方正公文小标宋" w:hAnsi="方正公文小标宋" w:hint="eastAsia"/>
          <w:b w:val="0"/>
          <w:color w:val="000000"/>
          <w:sz w:val="44"/>
          <w:szCs w:val="44"/>
        </w:rPr>
        <w:t>国家中医药博物馆</w:t>
      </w:r>
    </w:p>
    <w:p w:rsidR="00D62EB9" w:rsidRDefault="00D27420">
      <w:pPr>
        <w:pStyle w:val="a6"/>
        <w:shd w:val="clear" w:color="auto" w:fill="FFFFFF"/>
        <w:spacing w:line="560" w:lineRule="exact"/>
        <w:jc w:val="center"/>
        <w:rPr>
          <w:rStyle w:val="a7"/>
          <w:rFonts w:ascii="方正公文小标宋" w:eastAsia="方正公文小标宋" w:hAnsi="方正公文小标宋"/>
          <w:b w:val="0"/>
          <w:color w:val="000000"/>
          <w:sz w:val="44"/>
          <w:szCs w:val="44"/>
        </w:rPr>
      </w:pPr>
      <w:r>
        <w:rPr>
          <w:rStyle w:val="a7"/>
          <w:rFonts w:ascii="方正公文小标宋" w:eastAsia="方正公文小标宋" w:hAnsi="方正公文小标宋" w:hint="eastAsia"/>
          <w:b w:val="0"/>
          <w:color w:val="000000"/>
          <w:sz w:val="44"/>
          <w:szCs w:val="44"/>
        </w:rPr>
        <w:t>2025</w:t>
      </w:r>
      <w:r>
        <w:rPr>
          <w:rStyle w:val="a7"/>
          <w:rFonts w:ascii="方正公文小标宋" w:eastAsia="方正公文小标宋" w:hAnsi="方正公文小标宋" w:hint="eastAsia"/>
          <w:b w:val="0"/>
          <w:color w:val="000000"/>
          <w:sz w:val="44"/>
          <w:szCs w:val="44"/>
        </w:rPr>
        <w:t>年部门决算公开报告</w:t>
      </w:r>
    </w:p>
    <w:p w:rsidR="00D62EB9" w:rsidRDefault="00D27420">
      <w:pPr>
        <w:pStyle w:val="a6"/>
        <w:shd w:val="clear" w:color="auto" w:fill="FFFFFF"/>
        <w:spacing w:line="600" w:lineRule="exact"/>
        <w:jc w:val="center"/>
        <w:rPr>
          <w:rFonts w:ascii="微软雅黑" w:eastAsia="微软雅黑" w:hAnsi="微软雅黑"/>
          <w:b/>
          <w:color w:val="000000"/>
          <w:sz w:val="32"/>
          <w:szCs w:val="32"/>
        </w:rPr>
      </w:pPr>
      <w:r>
        <w:rPr>
          <w:rStyle w:val="a7"/>
          <w:rFonts w:ascii="黑体" w:eastAsia="黑体" w:hAnsi="黑体" w:hint="eastAsia"/>
          <w:b w:val="0"/>
          <w:color w:val="000000"/>
          <w:sz w:val="32"/>
          <w:szCs w:val="32"/>
        </w:rPr>
        <w:t>目</w:t>
      </w:r>
      <w:r>
        <w:rPr>
          <w:rStyle w:val="a7"/>
          <w:rFonts w:ascii="黑体" w:eastAsia="黑体" w:hAnsi="黑体" w:hint="eastAsia"/>
          <w:b w:val="0"/>
          <w:color w:val="000000"/>
          <w:sz w:val="32"/>
          <w:szCs w:val="32"/>
        </w:rPr>
        <w:t xml:space="preserve"> </w:t>
      </w:r>
      <w:r>
        <w:rPr>
          <w:rStyle w:val="a7"/>
          <w:rFonts w:ascii="黑体" w:eastAsia="黑体" w:hAnsi="黑体" w:hint="eastAsia"/>
          <w:b w:val="0"/>
          <w:color w:val="000000"/>
          <w:sz w:val="32"/>
          <w:szCs w:val="32"/>
        </w:rPr>
        <w:t>录</w:t>
      </w:r>
    </w:p>
    <w:p w:rsidR="00D62EB9" w:rsidRDefault="00D27420">
      <w:pPr>
        <w:pStyle w:val="a6"/>
        <w:shd w:val="clear" w:color="auto" w:fill="FFFFFF"/>
        <w:spacing w:before="0" w:beforeAutospacing="0" w:after="0" w:afterAutospacing="0" w:line="600" w:lineRule="exact"/>
        <w:rPr>
          <w:rFonts w:ascii="黑体" w:eastAsia="黑体" w:hAnsi="黑体"/>
          <w:color w:val="000000" w:themeColor="text1"/>
          <w:sz w:val="32"/>
          <w:szCs w:val="32"/>
        </w:rPr>
      </w:pPr>
      <w:r>
        <w:rPr>
          <w:rFonts w:ascii="黑体" w:eastAsia="黑体" w:hAnsi="黑体" w:hint="eastAsia"/>
          <w:color w:val="000000"/>
          <w:sz w:val="27"/>
          <w:szCs w:val="27"/>
        </w:rPr>
        <w:t xml:space="preserve">　</w:t>
      </w:r>
      <w:r>
        <w:rPr>
          <w:rFonts w:ascii="仿宋_GB2312" w:eastAsia="仿宋_GB2312" w:hAnsi="黑体" w:hint="eastAsia"/>
          <w:color w:val="000000"/>
          <w:sz w:val="32"/>
          <w:szCs w:val="32"/>
        </w:rPr>
        <w:t xml:space="preserve">　</w:t>
      </w:r>
      <w:r>
        <w:rPr>
          <w:rFonts w:ascii="黑体" w:eastAsia="黑体" w:hAnsi="黑体" w:hint="eastAsia"/>
          <w:color w:val="000000" w:themeColor="text1"/>
          <w:sz w:val="32"/>
          <w:szCs w:val="32"/>
        </w:rPr>
        <w:t>第一</w:t>
      </w:r>
      <w:bookmarkStart w:id="0" w:name="OLE_LINK5"/>
      <w:r>
        <w:rPr>
          <w:rFonts w:ascii="黑体" w:eastAsia="黑体" w:hAnsi="黑体" w:hint="eastAsia"/>
          <w:color w:val="000000" w:themeColor="text1"/>
          <w:sz w:val="32"/>
          <w:szCs w:val="32"/>
        </w:rPr>
        <w:t>部分</w:t>
      </w:r>
      <w:r>
        <w:rPr>
          <w:rFonts w:ascii="黑体" w:eastAsia="黑体" w:hAnsi="黑体" w:hint="eastAsia"/>
          <w:color w:val="000000" w:themeColor="text1"/>
          <w:sz w:val="32"/>
          <w:szCs w:val="32"/>
        </w:rPr>
        <w:t xml:space="preserve"> </w:t>
      </w:r>
      <w:r>
        <w:rPr>
          <w:rFonts w:ascii="黑体" w:eastAsia="黑体" w:hAnsi="黑体" w:hint="eastAsia"/>
          <w:color w:val="000000" w:themeColor="text1"/>
          <w:sz w:val="32"/>
          <w:szCs w:val="32"/>
        </w:rPr>
        <w:t>国家中医药博物馆概况</w:t>
      </w:r>
      <w:bookmarkEnd w:id="0"/>
    </w:p>
    <w:p w:rsidR="00D62EB9" w:rsidRDefault="00D27420">
      <w:pPr>
        <w:pStyle w:val="a6"/>
        <w:numPr>
          <w:ilvl w:val="0"/>
          <w:numId w:val="1"/>
        </w:numPr>
        <w:shd w:val="clear" w:color="auto" w:fill="FFFFFF"/>
        <w:spacing w:before="0" w:beforeAutospacing="0" w:after="0" w:afterAutospacing="0" w:line="600" w:lineRule="exact"/>
        <w:rPr>
          <w:rFonts w:ascii="仿宋_GB2312" w:eastAsia="仿宋_GB2312" w:hAnsi="楷体"/>
          <w:color w:val="000000"/>
          <w:sz w:val="32"/>
          <w:szCs w:val="32"/>
        </w:rPr>
      </w:pPr>
      <w:r>
        <w:rPr>
          <w:rFonts w:ascii="仿宋_GB2312" w:eastAsia="仿宋_GB2312" w:hAnsi="楷体" w:hint="eastAsia"/>
          <w:color w:val="000000"/>
          <w:sz w:val="32"/>
          <w:szCs w:val="32"/>
        </w:rPr>
        <w:t>主要职责</w:t>
      </w:r>
    </w:p>
    <w:p w:rsidR="00D62EB9" w:rsidRDefault="00D27420">
      <w:pPr>
        <w:pStyle w:val="a6"/>
        <w:shd w:val="clear" w:color="auto" w:fill="FFFFFF"/>
        <w:spacing w:before="0" w:beforeAutospacing="0" w:after="0" w:afterAutospacing="0" w:line="600" w:lineRule="exact"/>
        <w:ind w:left="645"/>
        <w:rPr>
          <w:rFonts w:ascii="仿宋_GB2312" w:eastAsia="仿宋_GB2312" w:hAnsi="微软雅黑"/>
          <w:color w:val="000000"/>
          <w:sz w:val="32"/>
          <w:szCs w:val="32"/>
        </w:rPr>
      </w:pPr>
      <w:r>
        <w:rPr>
          <w:rFonts w:ascii="仿宋_GB2312" w:eastAsia="仿宋_GB2312" w:hAnsi="楷体" w:hint="eastAsia"/>
          <w:color w:val="000000"/>
          <w:sz w:val="32"/>
          <w:szCs w:val="32"/>
        </w:rPr>
        <w:t>二、内设机构</w:t>
      </w:r>
    </w:p>
    <w:p w:rsidR="00D62EB9" w:rsidRDefault="00D27420">
      <w:pPr>
        <w:pStyle w:val="a6"/>
        <w:shd w:val="clear" w:color="auto" w:fill="FFFFFF"/>
        <w:spacing w:before="0" w:beforeAutospacing="0" w:after="0" w:afterAutospacing="0" w:line="600" w:lineRule="exact"/>
        <w:rPr>
          <w:rFonts w:ascii="黑体" w:eastAsia="黑体" w:hAnsi="黑体"/>
          <w:color w:val="000000"/>
          <w:sz w:val="32"/>
          <w:szCs w:val="32"/>
        </w:rPr>
      </w:pPr>
      <w:r>
        <w:rPr>
          <w:rFonts w:ascii="黑体" w:eastAsia="黑体" w:hAnsi="黑体" w:hint="eastAsia"/>
          <w:color w:val="000000"/>
          <w:sz w:val="27"/>
          <w:szCs w:val="27"/>
        </w:rPr>
        <w:t xml:space="preserve">　</w:t>
      </w:r>
      <w:r>
        <w:rPr>
          <w:rFonts w:ascii="黑体" w:eastAsia="黑体" w:hAnsi="黑体" w:hint="eastAsia"/>
          <w:color w:val="000000"/>
          <w:sz w:val="32"/>
          <w:szCs w:val="32"/>
        </w:rPr>
        <w:t xml:space="preserve">　第二部分</w:t>
      </w:r>
      <w:r>
        <w:rPr>
          <w:rFonts w:ascii="黑体" w:eastAsia="黑体" w:hAnsi="黑体" w:hint="eastAsia"/>
          <w:color w:val="000000"/>
          <w:sz w:val="32"/>
          <w:szCs w:val="32"/>
        </w:rPr>
        <w:t xml:space="preserve"> 2025</w:t>
      </w:r>
      <w:r>
        <w:rPr>
          <w:rFonts w:ascii="黑体" w:eastAsia="黑体" w:hAnsi="黑体" w:hint="eastAsia"/>
          <w:color w:val="000000"/>
          <w:sz w:val="32"/>
          <w:szCs w:val="32"/>
        </w:rPr>
        <w:t>年度部门决算表</w:t>
      </w:r>
    </w:p>
    <w:p w:rsidR="00D62EB9" w:rsidRDefault="00D27420">
      <w:pPr>
        <w:pStyle w:val="a6"/>
        <w:shd w:val="clear" w:color="auto" w:fill="FFFFFF"/>
        <w:spacing w:before="0" w:beforeAutospacing="0" w:after="0" w:afterAutospacing="0" w:line="600" w:lineRule="exact"/>
        <w:jc w:val="both"/>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一、收入支出决算总表</w:t>
      </w:r>
    </w:p>
    <w:p w:rsidR="00D62EB9" w:rsidRDefault="00D27420">
      <w:pPr>
        <w:pStyle w:val="a6"/>
        <w:shd w:val="clear" w:color="auto" w:fill="FFFFFF"/>
        <w:spacing w:before="0" w:beforeAutospacing="0" w:after="0" w:afterAutospacing="0" w:line="600" w:lineRule="exact"/>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二、收入决算表</w:t>
      </w:r>
    </w:p>
    <w:p w:rsidR="00D62EB9" w:rsidRDefault="00D27420">
      <w:pPr>
        <w:pStyle w:val="a6"/>
        <w:shd w:val="clear" w:color="auto" w:fill="FFFFFF"/>
        <w:spacing w:before="0" w:beforeAutospacing="0" w:after="0" w:afterAutospacing="0" w:line="600" w:lineRule="exact"/>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三、支出决算表</w:t>
      </w:r>
    </w:p>
    <w:p w:rsidR="00D62EB9" w:rsidRDefault="00D27420">
      <w:pPr>
        <w:pStyle w:val="a6"/>
        <w:shd w:val="clear" w:color="auto" w:fill="FFFFFF"/>
        <w:spacing w:before="0" w:beforeAutospacing="0" w:after="0" w:afterAutospacing="0" w:line="600" w:lineRule="exact"/>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四、财政拨款收入支出决算总表</w:t>
      </w:r>
    </w:p>
    <w:p w:rsidR="00D62EB9" w:rsidRDefault="00D27420">
      <w:pPr>
        <w:pStyle w:val="a6"/>
        <w:shd w:val="clear" w:color="auto" w:fill="FFFFFF"/>
        <w:spacing w:before="0" w:beforeAutospacing="0" w:after="0" w:afterAutospacing="0" w:line="600" w:lineRule="exact"/>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五、一般公共预算财政拨款支出决算表</w:t>
      </w:r>
    </w:p>
    <w:p w:rsidR="00D62EB9" w:rsidRDefault="00D27420">
      <w:pPr>
        <w:pStyle w:val="a6"/>
        <w:shd w:val="clear" w:color="auto" w:fill="FFFFFF"/>
        <w:spacing w:before="0" w:beforeAutospacing="0" w:after="0" w:afterAutospacing="0" w:line="600" w:lineRule="exact"/>
        <w:rPr>
          <w:rFonts w:ascii="仿宋_GB2312" w:eastAsia="仿宋_GB2312" w:hAnsi="微软雅黑"/>
          <w:color w:val="000000"/>
          <w:sz w:val="32"/>
          <w:szCs w:val="32"/>
        </w:rPr>
      </w:pPr>
      <w:r>
        <w:rPr>
          <w:rFonts w:ascii="仿宋_GB2312" w:eastAsia="仿宋_GB2312" w:hAnsi="微软雅黑" w:hint="eastAsia"/>
          <w:color w:val="000000"/>
          <w:sz w:val="32"/>
          <w:szCs w:val="32"/>
        </w:rPr>
        <w:t xml:space="preserve">　　六、一般公共预算财政拨款基本支出决算明细表</w:t>
      </w:r>
    </w:p>
    <w:p w:rsidR="00D62EB9" w:rsidRDefault="00D27420">
      <w:pPr>
        <w:pStyle w:val="a6"/>
        <w:shd w:val="clear" w:color="auto" w:fill="FFFFFF"/>
        <w:spacing w:before="0" w:beforeAutospacing="0" w:after="0" w:afterAutospacing="0" w:line="600" w:lineRule="exact"/>
        <w:ind w:firstLine="645"/>
        <w:rPr>
          <w:rFonts w:ascii="仿宋_GB2312" w:eastAsia="仿宋_GB2312" w:hAnsi="微软雅黑"/>
          <w:color w:val="000000"/>
          <w:sz w:val="32"/>
          <w:szCs w:val="32"/>
        </w:rPr>
      </w:pPr>
      <w:r>
        <w:rPr>
          <w:rFonts w:ascii="仿宋_GB2312" w:eastAsia="仿宋_GB2312" w:hAnsi="微软雅黑" w:hint="eastAsia"/>
          <w:color w:val="000000"/>
          <w:sz w:val="32"/>
          <w:szCs w:val="32"/>
        </w:rPr>
        <w:t>七、政府性基金预算财政拨款收入支出决算表</w:t>
      </w:r>
    </w:p>
    <w:p w:rsidR="00D62EB9" w:rsidRDefault="00D27420">
      <w:pPr>
        <w:pStyle w:val="a6"/>
        <w:shd w:val="clear" w:color="auto" w:fill="FFFFFF"/>
        <w:spacing w:before="0" w:beforeAutospacing="0" w:after="0" w:afterAutospacing="0" w:line="600" w:lineRule="exact"/>
        <w:ind w:firstLine="640"/>
        <w:rPr>
          <w:rFonts w:ascii="仿宋_GB2312" w:eastAsia="仿宋_GB2312" w:hAnsi="微软雅黑"/>
          <w:color w:val="000000"/>
          <w:sz w:val="32"/>
          <w:szCs w:val="32"/>
        </w:rPr>
      </w:pPr>
      <w:r>
        <w:rPr>
          <w:rFonts w:ascii="仿宋_GB2312" w:eastAsia="仿宋_GB2312" w:hAnsi="微软雅黑" w:hint="eastAsia"/>
          <w:color w:val="000000"/>
          <w:sz w:val="32"/>
          <w:szCs w:val="32"/>
        </w:rPr>
        <w:t>八、国有资本经营预算财政拨款支出决算表</w:t>
      </w:r>
    </w:p>
    <w:p w:rsidR="00D62EB9" w:rsidRDefault="00D27420">
      <w:pPr>
        <w:pStyle w:val="a6"/>
        <w:shd w:val="clear" w:color="auto" w:fill="FFFFFF"/>
        <w:spacing w:before="0" w:beforeAutospacing="0" w:after="0" w:afterAutospacing="0" w:line="600" w:lineRule="exact"/>
        <w:ind w:firstLine="640"/>
        <w:rPr>
          <w:rFonts w:ascii="仿宋_GB2312" w:eastAsia="仿宋_GB2312" w:hAnsi="微软雅黑"/>
          <w:color w:val="000000"/>
          <w:sz w:val="32"/>
          <w:szCs w:val="32"/>
        </w:rPr>
      </w:pPr>
      <w:r>
        <w:rPr>
          <w:rFonts w:ascii="仿宋_GB2312" w:eastAsia="仿宋_GB2312" w:hAnsi="微软雅黑" w:hint="eastAsia"/>
          <w:color w:val="000000"/>
          <w:sz w:val="32"/>
          <w:szCs w:val="32"/>
        </w:rPr>
        <w:t>九、财政拨款“三公经费”支出决算表</w:t>
      </w:r>
    </w:p>
    <w:p w:rsidR="00D62EB9" w:rsidRDefault="00D27420">
      <w:pPr>
        <w:pStyle w:val="a6"/>
        <w:shd w:val="clear" w:color="auto" w:fill="FFFFFF"/>
        <w:spacing w:before="0" w:beforeAutospacing="0" w:after="0" w:afterAutospacing="0" w:line="600" w:lineRule="exact"/>
        <w:rPr>
          <w:rFonts w:ascii="黑体" w:eastAsia="黑体" w:hAnsi="黑体"/>
          <w:color w:val="000000"/>
          <w:sz w:val="32"/>
          <w:szCs w:val="32"/>
        </w:rPr>
      </w:pPr>
      <w:r>
        <w:rPr>
          <w:rFonts w:ascii="黑体" w:eastAsia="黑体" w:hAnsi="黑体" w:hint="eastAsia"/>
          <w:color w:val="000000"/>
          <w:sz w:val="27"/>
          <w:szCs w:val="27"/>
        </w:rPr>
        <w:t xml:space="preserve">　　</w:t>
      </w:r>
      <w:r>
        <w:rPr>
          <w:rFonts w:ascii="黑体" w:eastAsia="黑体" w:hAnsi="黑体" w:hint="eastAsia"/>
          <w:color w:val="000000"/>
          <w:sz w:val="32"/>
          <w:szCs w:val="32"/>
        </w:rPr>
        <w:t>第三部分</w:t>
      </w:r>
      <w:r>
        <w:rPr>
          <w:rFonts w:ascii="黑体" w:eastAsia="黑体" w:hAnsi="黑体" w:hint="eastAsia"/>
          <w:color w:val="000000"/>
          <w:sz w:val="32"/>
          <w:szCs w:val="32"/>
        </w:rPr>
        <w:t xml:space="preserve"> 2025</w:t>
      </w:r>
      <w:r>
        <w:rPr>
          <w:rFonts w:ascii="黑体" w:eastAsia="黑体" w:hAnsi="黑体" w:hint="eastAsia"/>
          <w:color w:val="000000"/>
          <w:sz w:val="32"/>
          <w:szCs w:val="32"/>
        </w:rPr>
        <w:t>年度部门决算情况说明</w:t>
      </w:r>
    </w:p>
    <w:p w:rsidR="00D62EB9" w:rsidRDefault="00D27420">
      <w:pPr>
        <w:pStyle w:val="a6"/>
        <w:shd w:val="clear" w:color="auto" w:fill="FFFFFF"/>
        <w:spacing w:before="0" w:beforeAutospacing="0" w:after="0" w:afterAutospacing="0" w:line="600" w:lineRule="exact"/>
        <w:ind w:firstLineChars="177" w:firstLine="566"/>
        <w:rPr>
          <w:rFonts w:ascii="黑体" w:eastAsia="黑体" w:hAnsi="黑体"/>
          <w:color w:val="000000" w:themeColor="text1"/>
          <w:sz w:val="32"/>
          <w:szCs w:val="32"/>
        </w:rPr>
      </w:pPr>
      <w:r>
        <w:rPr>
          <w:rFonts w:ascii="黑体" w:eastAsia="黑体" w:hAnsi="黑体" w:hint="eastAsia"/>
          <w:color w:val="000000" w:themeColor="text1"/>
          <w:sz w:val="32"/>
          <w:szCs w:val="32"/>
        </w:rPr>
        <w:t>第四部分</w:t>
      </w:r>
      <w:r>
        <w:rPr>
          <w:rFonts w:ascii="黑体" w:eastAsia="黑体" w:hAnsi="黑体" w:hint="eastAsia"/>
          <w:color w:val="000000" w:themeColor="text1"/>
          <w:sz w:val="32"/>
          <w:szCs w:val="32"/>
        </w:rPr>
        <w:t xml:space="preserve"> </w:t>
      </w:r>
      <w:r>
        <w:rPr>
          <w:rFonts w:ascii="黑体" w:eastAsia="黑体" w:hAnsi="黑体" w:hint="eastAsia"/>
          <w:color w:val="000000" w:themeColor="text1"/>
          <w:sz w:val="32"/>
          <w:szCs w:val="32"/>
        </w:rPr>
        <w:t>名词解释</w:t>
      </w:r>
    </w:p>
    <w:p w:rsidR="00D62EB9" w:rsidRDefault="00D62EB9">
      <w:pPr>
        <w:pStyle w:val="a6"/>
        <w:shd w:val="clear" w:color="auto" w:fill="FFFFFF"/>
        <w:spacing w:before="0" w:beforeAutospacing="0" w:after="0" w:afterAutospacing="0" w:line="600" w:lineRule="exact"/>
        <w:ind w:firstLineChars="177" w:firstLine="566"/>
        <w:rPr>
          <w:rFonts w:ascii="黑体" w:eastAsia="黑体" w:hAnsi="黑体"/>
          <w:color w:val="000000" w:themeColor="text1"/>
          <w:sz w:val="32"/>
          <w:szCs w:val="32"/>
        </w:rPr>
      </w:pPr>
    </w:p>
    <w:p w:rsidR="00D62EB9" w:rsidRDefault="00D62EB9">
      <w:pPr>
        <w:pStyle w:val="a6"/>
        <w:shd w:val="clear" w:color="auto" w:fill="FFFFFF"/>
        <w:spacing w:before="0" w:beforeAutospacing="0" w:after="0" w:afterAutospacing="0" w:line="600" w:lineRule="exact"/>
        <w:rPr>
          <w:rFonts w:ascii="黑体" w:eastAsia="黑体" w:hAnsi="黑体"/>
          <w:color w:val="000000"/>
          <w:sz w:val="32"/>
          <w:szCs w:val="32"/>
        </w:rPr>
      </w:pPr>
    </w:p>
    <w:p w:rsidR="00D62EB9" w:rsidRDefault="00D27420" w:rsidP="00995B2C">
      <w:pPr>
        <w:numPr>
          <w:ilvl w:val="0"/>
          <w:numId w:val="2"/>
        </w:numPr>
        <w:spacing w:line="600" w:lineRule="exact"/>
        <w:jc w:val="center"/>
        <w:rPr>
          <w:rFonts w:ascii="黑体" w:eastAsia="黑体" w:hAnsi="黑体"/>
          <w:bCs/>
          <w:sz w:val="32"/>
          <w:szCs w:val="32"/>
        </w:rPr>
      </w:pPr>
      <w:r>
        <w:rPr>
          <w:rFonts w:ascii="黑体" w:eastAsia="黑体" w:hAnsi="黑体" w:hint="eastAsia"/>
          <w:bCs/>
          <w:sz w:val="32"/>
          <w:szCs w:val="32"/>
        </w:rPr>
        <w:lastRenderedPageBreak/>
        <w:t>国家中医药博物馆主要职能</w:t>
      </w:r>
    </w:p>
    <w:p w:rsidR="00D62EB9" w:rsidRDefault="00D62EB9" w:rsidP="00995B2C">
      <w:pPr>
        <w:spacing w:line="600" w:lineRule="exact"/>
        <w:rPr>
          <w:rFonts w:ascii="黑体" w:eastAsia="黑体" w:hAnsi="黑体"/>
          <w:bCs/>
          <w:sz w:val="32"/>
          <w:szCs w:val="32"/>
        </w:rPr>
      </w:pPr>
    </w:p>
    <w:p w:rsidR="00D62EB9" w:rsidRDefault="00D27420" w:rsidP="00995B2C">
      <w:pPr>
        <w:pStyle w:val="a6"/>
        <w:widowControl w:val="0"/>
        <w:spacing w:before="0" w:beforeAutospacing="0" w:after="0" w:afterAutospacing="0" w:line="600" w:lineRule="exact"/>
        <w:ind w:firstLine="640"/>
        <w:jc w:val="both"/>
        <w:rPr>
          <w:rFonts w:ascii="仿宋_GB2312" w:eastAsia="仿宋_GB2312"/>
          <w:sz w:val="32"/>
          <w:szCs w:val="32"/>
        </w:rPr>
      </w:pPr>
      <w:r>
        <w:rPr>
          <w:rFonts w:ascii="黑体" w:eastAsia="黑体" w:cs="黑体"/>
          <w:color w:val="000000"/>
          <w:sz w:val="32"/>
          <w:szCs w:val="32"/>
        </w:rPr>
        <w:t>一、主要职责</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国家中医药博物馆是国家中医药管理局直属的公益一类事业单位，主要职责如下：</w:t>
      </w:r>
    </w:p>
    <w:p w:rsidR="00D62EB9" w:rsidRDefault="00995B2C"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（一）</w:t>
      </w:r>
      <w:r w:rsidR="00D27420">
        <w:rPr>
          <w:rFonts w:ascii="仿宋_GB2312" w:eastAsia="仿宋_GB2312" w:hint="eastAsia"/>
          <w:sz w:val="32"/>
          <w:szCs w:val="32"/>
        </w:rPr>
        <w:t>负责中医药文物、藏品、见证物的收集、保护和研究等。</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二</w:t>
      </w:r>
      <w:r>
        <w:rPr>
          <w:rFonts w:ascii="仿宋_GB2312" w:eastAsia="仿宋_GB2312" w:hint="eastAsia"/>
          <w:sz w:val="32"/>
          <w:szCs w:val="32"/>
        </w:rPr>
        <w:t>）负责举办中医药陈列展览、巡回展览等展览工作。</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三</w:t>
      </w:r>
      <w:r>
        <w:rPr>
          <w:rFonts w:ascii="仿宋_GB2312" w:eastAsia="仿宋_GB2312" w:hint="eastAsia"/>
          <w:sz w:val="32"/>
          <w:szCs w:val="32"/>
        </w:rPr>
        <w:t>）组织开展中医药文物藏品、传统知识保护推广工作。</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四</w:t>
      </w:r>
      <w:r>
        <w:rPr>
          <w:rFonts w:ascii="仿宋_GB2312" w:eastAsia="仿宋_GB2312" w:hint="eastAsia"/>
          <w:sz w:val="32"/>
          <w:szCs w:val="32"/>
        </w:rPr>
        <w:t>）承担传承弘扬中医药文化，科学普及中医药健康知识，举办学术交流等活动。</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五</w:t>
      </w:r>
      <w:r>
        <w:rPr>
          <w:rFonts w:ascii="仿宋_GB2312" w:eastAsia="仿宋_GB2312" w:hint="eastAsia"/>
          <w:sz w:val="32"/>
          <w:szCs w:val="32"/>
        </w:rPr>
        <w:t>）组织开展中医药历史文化、古籍文献保护等研究，编辑整理文字、图片、音像资料等。</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六</w:t>
      </w:r>
      <w:r>
        <w:rPr>
          <w:rFonts w:ascii="仿宋_GB2312" w:eastAsia="仿宋_GB2312" w:hint="eastAsia"/>
          <w:sz w:val="32"/>
          <w:szCs w:val="32"/>
        </w:rPr>
        <w:t>）组织开展中医药健康教育、互动体验、文化创意、国际交流等活动。</w:t>
      </w:r>
    </w:p>
    <w:p w:rsidR="00D62EB9" w:rsidRDefault="00D27420" w:rsidP="00995B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995B2C">
        <w:rPr>
          <w:rFonts w:ascii="仿宋_GB2312" w:eastAsia="仿宋_GB2312" w:hint="eastAsia"/>
          <w:sz w:val="32"/>
          <w:szCs w:val="32"/>
        </w:rPr>
        <w:t>七</w:t>
      </w:r>
      <w:r>
        <w:rPr>
          <w:rFonts w:ascii="仿宋_GB2312" w:eastAsia="仿宋_GB2312" w:hint="eastAsia"/>
          <w:sz w:val="32"/>
          <w:szCs w:val="32"/>
        </w:rPr>
        <w:t>）承办国家中医药管理局交办的其他事项。</w:t>
      </w:r>
    </w:p>
    <w:p w:rsidR="00D62EB9" w:rsidRDefault="00D27420" w:rsidP="00995B2C">
      <w:pPr>
        <w:pStyle w:val="a6"/>
        <w:widowControl w:val="0"/>
        <w:spacing w:before="0" w:beforeAutospacing="0" w:after="0" w:afterAutospacing="0" w:line="600" w:lineRule="exact"/>
        <w:ind w:firstLineChars="261" w:firstLine="835"/>
      </w:pPr>
      <w:bookmarkStart w:id="1" w:name="_GoBack"/>
      <w:bookmarkEnd w:id="1"/>
      <w:r>
        <w:rPr>
          <w:rFonts w:ascii="黑体" w:eastAsia="黑体" w:cs="黑体"/>
          <w:color w:val="000000"/>
          <w:sz w:val="32"/>
          <w:szCs w:val="32"/>
        </w:rPr>
        <w:t>二、单位内设机构</w:t>
      </w:r>
    </w:p>
    <w:p w:rsidR="00D62EB9" w:rsidRDefault="00D27420" w:rsidP="00995B2C">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国家中医药博物馆设</w:t>
      </w:r>
      <w:r>
        <w:rPr>
          <w:rFonts w:ascii="仿宋_GB2312" w:eastAsia="仿宋_GB2312" w:hint="eastAsia"/>
          <w:sz w:val="32"/>
          <w:szCs w:val="32"/>
        </w:rPr>
        <w:t>10</w:t>
      </w:r>
      <w:r>
        <w:rPr>
          <w:rFonts w:ascii="仿宋_GB2312" w:eastAsia="仿宋_GB2312" w:hint="eastAsia"/>
          <w:sz w:val="32"/>
          <w:szCs w:val="32"/>
        </w:rPr>
        <w:t>个内设机构（正处级），分别是：党政办公室、人事处、财务审计处、行政基建处、藏品管理部、展览策划部、研究部、文创事业部、社会教育部、信息数据部。</w:t>
      </w:r>
    </w:p>
    <w:p w:rsidR="00995B2C" w:rsidRDefault="00995B2C" w:rsidP="00995B2C">
      <w:pPr>
        <w:spacing w:line="600" w:lineRule="exact"/>
        <w:ind w:firstLineChars="200" w:firstLine="640"/>
        <w:rPr>
          <w:rFonts w:ascii="仿宋_GB2312" w:eastAsia="仿宋_GB2312" w:hint="eastAsia"/>
          <w:sz w:val="32"/>
          <w:szCs w:val="32"/>
        </w:rPr>
      </w:pPr>
    </w:p>
    <w:p w:rsidR="00D62EB9" w:rsidRDefault="00D62EB9" w:rsidP="00995B2C">
      <w:pPr>
        <w:spacing w:line="600" w:lineRule="exact"/>
        <w:ind w:firstLineChars="200" w:firstLine="640"/>
        <w:rPr>
          <w:rFonts w:ascii="仿宋_GB2312" w:eastAsia="仿宋_GB2312"/>
          <w:sz w:val="32"/>
          <w:szCs w:val="32"/>
        </w:rPr>
        <w:sectPr w:rsidR="00D62EB9">
          <w:pgSz w:w="11906" w:h="16838"/>
          <w:pgMar w:top="1440" w:right="1416" w:bottom="1440" w:left="1276" w:header="851" w:footer="992" w:gutter="0"/>
          <w:cols w:space="720"/>
          <w:docGrid w:type="lines" w:linePitch="312"/>
        </w:sectPr>
      </w:pPr>
    </w:p>
    <w:p w:rsidR="00D62EB9" w:rsidRDefault="00D27420">
      <w:pPr>
        <w:pStyle w:val="a6"/>
        <w:shd w:val="clear" w:color="auto" w:fill="FFFFFF"/>
        <w:spacing w:before="0" w:beforeAutospacing="0" w:after="0" w:afterAutospacing="0" w:line="600" w:lineRule="exact"/>
        <w:jc w:val="center"/>
        <w:rPr>
          <w:rFonts w:ascii="黑体" w:eastAsia="黑体" w:hAnsi="黑体"/>
          <w:color w:val="000000"/>
          <w:sz w:val="32"/>
          <w:szCs w:val="32"/>
        </w:rPr>
      </w:pPr>
      <w:r>
        <w:rPr>
          <w:rFonts w:ascii="黑体" w:eastAsia="黑体" w:hAnsi="黑体" w:hint="eastAsia"/>
          <w:color w:val="000000"/>
          <w:sz w:val="32"/>
          <w:szCs w:val="32"/>
        </w:rPr>
        <w:lastRenderedPageBreak/>
        <w:t>第二部分</w:t>
      </w:r>
      <w:r>
        <w:rPr>
          <w:rFonts w:ascii="黑体" w:eastAsia="黑体" w:hAnsi="黑体" w:hint="eastAsia"/>
          <w:color w:val="000000"/>
          <w:sz w:val="32"/>
          <w:szCs w:val="32"/>
        </w:rPr>
        <w:t xml:space="preserve"> 2025</w:t>
      </w:r>
      <w:r>
        <w:rPr>
          <w:rFonts w:ascii="黑体" w:eastAsia="黑体" w:hAnsi="黑体" w:hint="eastAsia"/>
          <w:color w:val="000000"/>
          <w:sz w:val="32"/>
          <w:szCs w:val="32"/>
        </w:rPr>
        <w:t>年度部门决算表</w:t>
      </w:r>
    </w:p>
    <w:tbl>
      <w:tblPr>
        <w:tblW w:w="14835" w:type="dxa"/>
        <w:tblInd w:w="93" w:type="dxa"/>
        <w:tblLook w:val="04A0" w:firstRow="1" w:lastRow="0" w:firstColumn="1" w:lastColumn="0" w:noHBand="0" w:noVBand="1"/>
      </w:tblPr>
      <w:tblGrid>
        <w:gridCol w:w="3705"/>
        <w:gridCol w:w="651"/>
        <w:gridCol w:w="2565"/>
        <w:gridCol w:w="4704"/>
        <w:gridCol w:w="651"/>
        <w:gridCol w:w="2565"/>
      </w:tblGrid>
      <w:tr w:rsidR="00D62EB9">
        <w:trPr>
          <w:trHeight w:val="480"/>
        </w:trPr>
        <w:tc>
          <w:tcPr>
            <w:tcW w:w="14841" w:type="dxa"/>
            <w:gridSpan w:val="6"/>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t>收入支出决算</w:t>
            </w:r>
            <w:r>
              <w:rPr>
                <w:rFonts w:ascii="宋体" w:eastAsia="宋体" w:hAnsi="宋体" w:cs="宋体" w:hint="eastAsia"/>
                <w:color w:val="000000"/>
                <w:kern w:val="0"/>
                <w:sz w:val="38"/>
                <w:szCs w:val="38"/>
                <w:lang w:bidi="ar"/>
              </w:rPr>
              <w:t>表</w:t>
            </w:r>
          </w:p>
        </w:tc>
      </w:tr>
      <w:tr w:rsidR="00D62EB9">
        <w:trPr>
          <w:trHeight w:val="400"/>
        </w:trPr>
        <w:tc>
          <w:tcPr>
            <w:tcW w:w="0" w:type="auto"/>
            <w:gridSpan w:val="2"/>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01</w:t>
            </w:r>
            <w:r>
              <w:rPr>
                <w:rFonts w:ascii="宋体" w:eastAsia="宋体" w:hAnsi="宋体" w:cs="宋体" w:hint="eastAsia"/>
                <w:color w:val="000000"/>
                <w:kern w:val="0"/>
                <w:sz w:val="20"/>
                <w:szCs w:val="20"/>
                <w:lang w:bidi="ar"/>
              </w:rPr>
              <w:t>表</w:t>
            </w:r>
          </w:p>
        </w:tc>
      </w:tr>
      <w:tr w:rsidR="00D62EB9">
        <w:trPr>
          <w:trHeight w:val="400"/>
        </w:trPr>
        <w:tc>
          <w:tcPr>
            <w:tcW w:w="0" w:type="auto"/>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400"/>
        </w:trPr>
        <w:tc>
          <w:tcPr>
            <w:tcW w:w="69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收入</w:t>
            </w:r>
          </w:p>
        </w:tc>
        <w:tc>
          <w:tcPr>
            <w:tcW w:w="7920"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支出</w:t>
            </w:r>
          </w:p>
        </w:tc>
      </w:tr>
      <w:tr w:rsidR="00D62EB9">
        <w:trPr>
          <w:trHeight w:val="40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w:t>
            </w:r>
          </w:p>
        </w:tc>
      </w:tr>
      <w:tr w:rsidR="00D62EB9">
        <w:trPr>
          <w:trHeight w:val="40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651" w:type="dxa"/>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651" w:type="dxa"/>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r>
      <w:tr w:rsidR="00D62EB9">
        <w:trPr>
          <w:trHeight w:val="40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一、一般公共预算财政拨款收入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2,331.38</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一、一般公共服务支出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40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二、政府性基金预算财政拨款收入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二、外交支出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40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三、国有资本经营预算财政拨款收入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三、国防支出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四、上级补助收入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四、公共安全支出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五、事业收入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253.00</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五、教育支出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六、经营收入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六、科学技术支出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37</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七、附属单位上缴收入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七、文化旅游体育与传媒支出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38</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八、其他收入</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58.05</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八、社会保障和就业支出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39</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96.94</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九、卫生健康支出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40</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2,191.58</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十、节能环保支出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41</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十一、城乡社区支出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十二、农林水支出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十三、交通运输支出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十四、资源勘探工业信息等支出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45</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15</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十五、商业服务业等支出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十六、金融支出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47</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17</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十七、援助其他地区支出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48</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18</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十八、自然资源海洋气象等支出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十九、住房保障支出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102.01</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二十、粮油物资储备支出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51</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二十一、国有资本经营预算支出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二十二、灾害防治及应急管理支出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二十三、其他支出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24</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二十四、债务还本支出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55</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25</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二十五、债务付息支出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二十六、抗</w:t>
            </w:r>
            <w:proofErr w:type="gramStart"/>
            <w:r>
              <w:rPr>
                <w:rFonts w:ascii="宋体" w:eastAsia="宋体" w:hAnsi="宋体" w:cs="宋体" w:hint="eastAsia"/>
                <w:color w:val="000000"/>
                <w:kern w:val="0"/>
                <w:sz w:val="20"/>
                <w:szCs w:val="20"/>
                <w:lang w:bidi="ar"/>
              </w:rPr>
              <w:t>疫</w:t>
            </w:r>
            <w:proofErr w:type="gramEnd"/>
            <w:r>
              <w:rPr>
                <w:rFonts w:ascii="宋体" w:eastAsia="宋体" w:hAnsi="宋体" w:cs="宋体" w:hint="eastAsia"/>
                <w:color w:val="000000"/>
                <w:kern w:val="0"/>
                <w:sz w:val="20"/>
                <w:szCs w:val="20"/>
                <w:lang w:bidi="ar"/>
              </w:rPr>
              <w:t>特别国债安排的支出</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57</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本年收入合计</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27</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2,642.43</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本年支出合计</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58</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2,390.53</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使用非财政拨款结余</w:t>
            </w:r>
            <w:r>
              <w:rPr>
                <w:rFonts w:ascii="宋体" w:eastAsia="宋体" w:hAnsi="宋体" w:cs="宋体" w:hint="eastAsia"/>
                <w:color w:val="000000"/>
                <w:kern w:val="0"/>
                <w:sz w:val="20"/>
                <w:szCs w:val="20"/>
                <w:lang w:bidi="ar"/>
              </w:rPr>
              <w:t>(</w:t>
            </w:r>
            <w:r>
              <w:rPr>
                <w:rFonts w:ascii="宋体" w:eastAsia="宋体" w:hAnsi="宋体" w:cs="宋体" w:hint="eastAsia"/>
                <w:color w:val="000000"/>
                <w:kern w:val="0"/>
                <w:sz w:val="20"/>
                <w:szCs w:val="20"/>
                <w:lang w:bidi="ar"/>
              </w:rPr>
              <w:t>含专用结余）</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28</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结余分配</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59</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118.68</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29</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249.03</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60</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382.25</w:t>
            </w: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30</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704"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61</w:t>
            </w:r>
          </w:p>
        </w:tc>
        <w:tc>
          <w:tcPr>
            <w:tcW w:w="25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270"/>
        </w:trPr>
        <w:tc>
          <w:tcPr>
            <w:tcW w:w="3705"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总计</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2,891.46</w:t>
            </w:r>
          </w:p>
        </w:tc>
        <w:tc>
          <w:tcPr>
            <w:tcW w:w="470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总计</w:t>
            </w:r>
          </w:p>
        </w:tc>
        <w:tc>
          <w:tcPr>
            <w:tcW w:w="6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62</w:t>
            </w:r>
          </w:p>
        </w:tc>
        <w:tc>
          <w:tcPr>
            <w:tcW w:w="256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2,891.46</w:t>
            </w:r>
          </w:p>
        </w:tc>
      </w:tr>
      <w:tr w:rsidR="00D62EB9">
        <w:trPr>
          <w:trHeight w:val="270"/>
        </w:trPr>
        <w:tc>
          <w:tcPr>
            <w:tcW w:w="14841" w:type="dxa"/>
            <w:gridSpan w:val="6"/>
            <w:tcBorders>
              <w:top w:val="nil"/>
              <w:left w:val="nil"/>
              <w:bottom w:val="nil"/>
              <w:right w:val="nil"/>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注：本套报表金额单位转换时可能存在尾数误差。</w:t>
            </w: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158" w:type="dxa"/>
        <w:tblInd w:w="93" w:type="dxa"/>
        <w:tblLayout w:type="fixed"/>
        <w:tblLook w:val="04A0" w:firstRow="1" w:lastRow="0" w:firstColumn="1" w:lastColumn="0" w:noHBand="0" w:noVBand="1"/>
      </w:tblPr>
      <w:tblGrid>
        <w:gridCol w:w="422"/>
        <w:gridCol w:w="416"/>
        <w:gridCol w:w="428"/>
        <w:gridCol w:w="3819"/>
        <w:gridCol w:w="1160"/>
        <w:gridCol w:w="1316"/>
        <w:gridCol w:w="1316"/>
        <w:gridCol w:w="1316"/>
        <w:gridCol w:w="1316"/>
        <w:gridCol w:w="1316"/>
        <w:gridCol w:w="1333"/>
      </w:tblGrid>
      <w:tr w:rsidR="00D62EB9">
        <w:trPr>
          <w:trHeight w:val="707"/>
        </w:trPr>
        <w:tc>
          <w:tcPr>
            <w:tcW w:w="14158" w:type="dxa"/>
            <w:gridSpan w:val="11"/>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收入决算表</w:t>
            </w:r>
          </w:p>
        </w:tc>
      </w:tr>
      <w:tr w:rsidR="00D62EB9">
        <w:trPr>
          <w:trHeight w:val="353"/>
        </w:trPr>
        <w:tc>
          <w:tcPr>
            <w:tcW w:w="422"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4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42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3819"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16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2649"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02</w:t>
            </w:r>
            <w:r>
              <w:rPr>
                <w:rFonts w:ascii="宋体" w:eastAsia="宋体" w:hAnsi="宋体" w:cs="宋体" w:hint="eastAsia"/>
                <w:color w:val="000000"/>
                <w:kern w:val="0"/>
                <w:sz w:val="20"/>
                <w:szCs w:val="20"/>
                <w:lang w:bidi="ar"/>
              </w:rPr>
              <w:t>表</w:t>
            </w:r>
          </w:p>
        </w:tc>
      </w:tr>
      <w:tr w:rsidR="00D62EB9">
        <w:trPr>
          <w:trHeight w:val="353"/>
        </w:trPr>
        <w:tc>
          <w:tcPr>
            <w:tcW w:w="5085" w:type="dxa"/>
            <w:gridSpan w:val="4"/>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116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1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2649"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729"/>
        </w:trPr>
        <w:tc>
          <w:tcPr>
            <w:tcW w:w="126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科目代码</w:t>
            </w:r>
          </w:p>
        </w:tc>
        <w:tc>
          <w:tcPr>
            <w:tcW w:w="3819"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160"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本年收入合计</w:t>
            </w:r>
          </w:p>
        </w:tc>
        <w:tc>
          <w:tcPr>
            <w:tcW w:w="1316"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财政拨款收入</w:t>
            </w:r>
          </w:p>
        </w:tc>
        <w:tc>
          <w:tcPr>
            <w:tcW w:w="1316"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上级补助收入</w:t>
            </w:r>
          </w:p>
        </w:tc>
        <w:tc>
          <w:tcPr>
            <w:tcW w:w="1316"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事业收入</w:t>
            </w:r>
          </w:p>
        </w:tc>
        <w:tc>
          <w:tcPr>
            <w:tcW w:w="1316"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经营收入</w:t>
            </w:r>
          </w:p>
        </w:tc>
        <w:tc>
          <w:tcPr>
            <w:tcW w:w="1316"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附属单位上缴收入</w:t>
            </w:r>
          </w:p>
        </w:tc>
        <w:tc>
          <w:tcPr>
            <w:tcW w:w="1333"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其他收入</w:t>
            </w:r>
          </w:p>
        </w:tc>
      </w:tr>
      <w:tr w:rsidR="00D62EB9">
        <w:trPr>
          <w:trHeight w:val="375"/>
        </w:trPr>
        <w:tc>
          <w:tcPr>
            <w:tcW w:w="422"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类</w:t>
            </w:r>
          </w:p>
        </w:tc>
        <w:tc>
          <w:tcPr>
            <w:tcW w:w="416"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款</w:t>
            </w:r>
          </w:p>
        </w:tc>
        <w:tc>
          <w:tcPr>
            <w:tcW w:w="428"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r>
      <w:tr w:rsidR="00D62EB9">
        <w:trPr>
          <w:trHeight w:val="375"/>
        </w:trPr>
        <w:tc>
          <w:tcPr>
            <w:tcW w:w="422"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16"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28"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2,642.43</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2,331.38</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253.00</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58.05</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行政事业单位养老支出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657"/>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66.70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66.70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2080506</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38.23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38.23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2,442.06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2,148.07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235.94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58.05 </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行政事业单位医疗</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15.20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15.20 </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2101102</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事业单位医疗</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15.20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15.20 </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中医药事务</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2,426.86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2,148.07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235.94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42.85 </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2101750</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事业运行</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739.63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460.84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235.94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42.85 </w:t>
            </w: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2101799</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其他中医药事务支出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95.44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17.06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住房改革支出</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95.44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17.06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64.61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47.55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17.06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75"/>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2210202</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提租补贴</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2.71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2.71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66"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2210203</w:t>
            </w:r>
          </w:p>
        </w:tc>
        <w:tc>
          <w:tcPr>
            <w:tcW w:w="3819"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购房补贴</w:t>
            </w:r>
          </w:p>
        </w:tc>
        <w:tc>
          <w:tcPr>
            <w:tcW w:w="1160"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28.12 </w:t>
            </w:r>
          </w:p>
        </w:tc>
        <w:tc>
          <w:tcPr>
            <w:tcW w:w="131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28.12 </w:t>
            </w: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3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920" w:type="dxa"/>
        <w:tblInd w:w="93" w:type="dxa"/>
        <w:tblLook w:val="04A0" w:firstRow="1" w:lastRow="0" w:firstColumn="1" w:lastColumn="0" w:noHBand="0" w:noVBand="1"/>
      </w:tblPr>
      <w:tblGrid>
        <w:gridCol w:w="416"/>
        <w:gridCol w:w="416"/>
        <w:gridCol w:w="416"/>
        <w:gridCol w:w="3878"/>
        <w:gridCol w:w="1548"/>
        <w:gridCol w:w="1548"/>
        <w:gridCol w:w="1548"/>
        <w:gridCol w:w="1548"/>
        <w:gridCol w:w="1548"/>
        <w:gridCol w:w="2054"/>
      </w:tblGrid>
      <w:tr w:rsidR="00D62EB9">
        <w:trPr>
          <w:trHeight w:val="90"/>
        </w:trPr>
        <w:tc>
          <w:tcPr>
            <w:tcW w:w="14920" w:type="dxa"/>
            <w:gridSpan w:val="10"/>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支出决算表</w:t>
            </w:r>
          </w:p>
        </w:tc>
      </w:tr>
      <w:tr w:rsidR="00D62EB9">
        <w:trPr>
          <w:trHeight w:val="90"/>
        </w:trPr>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3637" w:type="dxa"/>
            <w:gridSpan w:val="2"/>
            <w:tcBorders>
              <w:top w:val="nil"/>
              <w:left w:val="nil"/>
              <w:bottom w:val="nil"/>
              <w:right w:val="nil"/>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03</w:t>
            </w:r>
            <w:r>
              <w:rPr>
                <w:rFonts w:ascii="宋体" w:eastAsia="宋体" w:hAnsi="宋体" w:cs="宋体" w:hint="eastAsia"/>
                <w:color w:val="000000"/>
                <w:kern w:val="0"/>
                <w:sz w:val="20"/>
                <w:szCs w:val="20"/>
                <w:lang w:bidi="ar"/>
              </w:rPr>
              <w:t>表</w:t>
            </w:r>
          </w:p>
        </w:tc>
      </w:tr>
      <w:tr w:rsidR="00D62EB9">
        <w:trPr>
          <w:trHeight w:val="90"/>
        </w:trPr>
        <w:tc>
          <w:tcPr>
            <w:tcW w:w="0" w:type="auto"/>
            <w:gridSpan w:val="4"/>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1548" w:type="dxa"/>
            <w:tcBorders>
              <w:top w:val="nil"/>
              <w:left w:val="nil"/>
              <w:bottom w:val="nil"/>
              <w:right w:val="nil"/>
            </w:tcBorders>
            <w:shd w:val="clear" w:color="auto" w:fill="auto"/>
            <w:vAlign w:val="center"/>
          </w:tcPr>
          <w:p w:rsidR="00D62EB9" w:rsidRDefault="00D62EB9">
            <w:pPr>
              <w:rPr>
                <w:rFonts w:ascii="宋体" w:eastAsia="宋体" w:hAnsi="宋体" w:cs="宋体"/>
                <w:color w:val="000000"/>
                <w:sz w:val="22"/>
              </w:rPr>
            </w:pPr>
          </w:p>
        </w:tc>
        <w:tc>
          <w:tcPr>
            <w:tcW w:w="3637" w:type="dxa"/>
            <w:gridSpan w:val="2"/>
            <w:tcBorders>
              <w:top w:val="nil"/>
              <w:left w:val="nil"/>
              <w:bottom w:val="nil"/>
              <w:right w:val="nil"/>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90"/>
        </w:trPr>
        <w:tc>
          <w:tcPr>
            <w:tcW w:w="12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科目代码</w:t>
            </w:r>
          </w:p>
        </w:tc>
        <w:tc>
          <w:tcPr>
            <w:tcW w:w="387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本年支出合计</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上缴上级支出</w:t>
            </w:r>
          </w:p>
        </w:tc>
        <w:tc>
          <w:tcPr>
            <w:tcW w:w="1548"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经营支出</w:t>
            </w:r>
          </w:p>
        </w:tc>
        <w:tc>
          <w:tcPr>
            <w:tcW w:w="2089"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对附属单位补助支出</w:t>
            </w:r>
          </w:p>
        </w:tc>
      </w:tr>
      <w:tr w:rsidR="00D62EB9">
        <w:trPr>
          <w:trHeight w:val="90"/>
        </w:trPr>
        <w:tc>
          <w:tcPr>
            <w:tcW w:w="401"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类</w:t>
            </w:r>
          </w:p>
        </w:tc>
        <w:tc>
          <w:tcPr>
            <w:tcW w:w="411"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款</w:t>
            </w:r>
          </w:p>
        </w:tc>
        <w:tc>
          <w:tcPr>
            <w:tcW w:w="401"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208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r>
      <w:tr w:rsidR="00D62EB9">
        <w:trPr>
          <w:trHeight w:val="90"/>
        </w:trPr>
        <w:tc>
          <w:tcPr>
            <w:tcW w:w="401"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11"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01"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2,390.53</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964.78</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1,425.75</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行政事业单位养老支出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64.63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64.63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2080506</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32.31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32.31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2,191.58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765.83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行政事业单位医疗</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9.36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9.36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2101102</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事业单位医疗</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9.36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9.36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中医药事务</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2,182.21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756.46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2101750</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事业运行</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756.46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756.46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2101799</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其他中医药事务支出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102.01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102.01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住房改革支出</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102.01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102.01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64.61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64.61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2210202</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提租补贴</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3.10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3.10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90"/>
        </w:trPr>
        <w:tc>
          <w:tcPr>
            <w:tcW w:w="1213"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2210203</w:t>
            </w:r>
          </w:p>
        </w:tc>
        <w:tc>
          <w:tcPr>
            <w:tcW w:w="387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购房补贴</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34.30 </w:t>
            </w:r>
          </w:p>
        </w:tc>
        <w:tc>
          <w:tcPr>
            <w:tcW w:w="154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34.30 </w:t>
            </w: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4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208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3980" w:type="dxa"/>
        <w:tblInd w:w="93" w:type="dxa"/>
        <w:tblLayout w:type="fixed"/>
        <w:tblLook w:val="04A0" w:firstRow="1" w:lastRow="0" w:firstColumn="1" w:lastColumn="0" w:noHBand="0" w:noVBand="1"/>
      </w:tblPr>
      <w:tblGrid>
        <w:gridCol w:w="3102"/>
        <w:gridCol w:w="420"/>
        <w:gridCol w:w="1606"/>
        <w:gridCol w:w="3264"/>
        <w:gridCol w:w="551"/>
        <w:gridCol w:w="1095"/>
        <w:gridCol w:w="1359"/>
        <w:gridCol w:w="1318"/>
        <w:gridCol w:w="1265"/>
      </w:tblGrid>
      <w:tr w:rsidR="00D62EB9">
        <w:trPr>
          <w:trHeight w:val="757"/>
        </w:trPr>
        <w:tc>
          <w:tcPr>
            <w:tcW w:w="13980" w:type="dxa"/>
            <w:gridSpan w:val="9"/>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财政拨款收入支出决算表</w:t>
            </w:r>
          </w:p>
        </w:tc>
      </w:tr>
      <w:tr w:rsidR="00D62EB9">
        <w:trPr>
          <w:trHeight w:val="378"/>
        </w:trPr>
        <w:tc>
          <w:tcPr>
            <w:tcW w:w="3522" w:type="dxa"/>
            <w:gridSpan w:val="2"/>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60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3264"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551"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9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59"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2583"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04</w:t>
            </w:r>
            <w:r>
              <w:rPr>
                <w:rFonts w:ascii="宋体" w:eastAsia="宋体" w:hAnsi="宋体" w:cs="宋体" w:hint="eastAsia"/>
                <w:color w:val="000000"/>
                <w:kern w:val="0"/>
                <w:sz w:val="20"/>
                <w:szCs w:val="20"/>
                <w:lang w:bidi="ar"/>
              </w:rPr>
              <w:t>表</w:t>
            </w:r>
          </w:p>
        </w:tc>
      </w:tr>
      <w:tr w:rsidR="00D62EB9">
        <w:trPr>
          <w:trHeight w:val="378"/>
        </w:trPr>
        <w:tc>
          <w:tcPr>
            <w:tcW w:w="3102" w:type="dxa"/>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42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606"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3264"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551"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9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359"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2583"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391"/>
        </w:trPr>
        <w:tc>
          <w:tcPr>
            <w:tcW w:w="51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收</w:t>
            </w: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入</w:t>
            </w:r>
          </w:p>
        </w:tc>
        <w:tc>
          <w:tcPr>
            <w:tcW w:w="8852" w:type="dxa"/>
            <w:gridSpan w:val="6"/>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支</w:t>
            </w: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出</w:t>
            </w:r>
          </w:p>
        </w:tc>
      </w:tr>
      <w:tr w:rsidR="00D62EB9">
        <w:trPr>
          <w:trHeight w:val="1148"/>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一般公共预算财政拨款</w:t>
            </w:r>
          </w:p>
        </w:tc>
        <w:tc>
          <w:tcPr>
            <w:tcW w:w="131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政府性基金预算财政拨款</w:t>
            </w:r>
          </w:p>
        </w:tc>
        <w:tc>
          <w:tcPr>
            <w:tcW w:w="12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国有资本经营预算财政拨款</w:t>
            </w: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420" w:type="dxa"/>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551" w:type="dxa"/>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31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2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2,331.38</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一、一般公共服务支出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二、政府性基金预算财政拨款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二、外交支出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34</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69"/>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三、国有资本经营预算财政拨款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三、国防支出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四、公共安全支出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36</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五、教育支出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37</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六、科学技术支出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38</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七、文化旅游体育与传媒支出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39</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八、社会保障和就业支出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40</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96.94</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96.94</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九、卫生健康支出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41</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1,883.89</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1,883.89</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十、节能环保支出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十一、城乡社区支出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43</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十二、农林水支出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十三、交通运输支出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45</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14</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十四、资源勘探工业信息等支出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15</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十五、商业服务业等支出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47</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16</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十六、金融支出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48</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17</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十七、援助其他地区支出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18</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十八、自然资源海洋气象等支出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十九、住房保障支出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51</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84.95</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84.95</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二十、粮油物资储备支出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52</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二十一、国有资本经营预算支出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53</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二十二、灾害防治及应急管理支出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54</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二十三、其他支出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55</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24</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二十四、债务还本支出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56</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25</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二十五、债务付息支出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57</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二十六、抗</w:t>
            </w:r>
            <w:proofErr w:type="gramStart"/>
            <w:r>
              <w:rPr>
                <w:rFonts w:ascii="宋体" w:eastAsia="宋体" w:hAnsi="宋体" w:cs="宋体" w:hint="eastAsia"/>
                <w:color w:val="000000"/>
                <w:kern w:val="0"/>
                <w:sz w:val="20"/>
                <w:szCs w:val="20"/>
                <w:lang w:bidi="ar"/>
              </w:rPr>
              <w:t>疫</w:t>
            </w:r>
            <w:proofErr w:type="gramEnd"/>
            <w:r>
              <w:rPr>
                <w:rFonts w:ascii="宋体" w:eastAsia="宋体" w:hAnsi="宋体" w:cs="宋体" w:hint="eastAsia"/>
                <w:color w:val="000000"/>
                <w:kern w:val="0"/>
                <w:sz w:val="20"/>
                <w:szCs w:val="20"/>
                <w:lang w:bidi="ar"/>
              </w:rPr>
              <w:t>特别国债安排的支出</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58</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本年收入合计</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27</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2,331.38</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本年支出合计</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59</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2,065.78</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2,065.78</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28</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46.94</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60</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312.54</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312.54</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一般公共预算财政拨款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29</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46.94</w:t>
            </w:r>
          </w:p>
        </w:tc>
        <w:tc>
          <w:tcPr>
            <w:tcW w:w="3264"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61</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391"/>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政府性基金预算财政拨款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30</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62</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69"/>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国有资本经营预算财政拨款</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w:t>
            </w:r>
          </w:p>
        </w:tc>
        <w:tc>
          <w:tcPr>
            <w:tcW w:w="16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3264"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20"/>
                <w:szCs w:val="20"/>
              </w:rPr>
            </w:pP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63</w:t>
            </w:r>
          </w:p>
        </w:tc>
        <w:tc>
          <w:tcPr>
            <w:tcW w:w="109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5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403"/>
        </w:trPr>
        <w:tc>
          <w:tcPr>
            <w:tcW w:w="3102"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总计</w:t>
            </w:r>
          </w:p>
        </w:tc>
        <w:tc>
          <w:tcPr>
            <w:tcW w:w="420"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32</w:t>
            </w:r>
          </w:p>
        </w:tc>
        <w:tc>
          <w:tcPr>
            <w:tcW w:w="1606"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2,378.32</w:t>
            </w:r>
          </w:p>
        </w:tc>
        <w:tc>
          <w:tcPr>
            <w:tcW w:w="3264"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总计</w:t>
            </w:r>
          </w:p>
        </w:tc>
        <w:tc>
          <w:tcPr>
            <w:tcW w:w="55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64</w:t>
            </w:r>
          </w:p>
        </w:tc>
        <w:tc>
          <w:tcPr>
            <w:tcW w:w="109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2,378.32</w:t>
            </w:r>
          </w:p>
        </w:tc>
        <w:tc>
          <w:tcPr>
            <w:tcW w:w="135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2,378.32</w:t>
            </w:r>
          </w:p>
        </w:tc>
        <w:tc>
          <w:tcPr>
            <w:tcW w:w="131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900" w:type="dxa"/>
        <w:tblInd w:w="93" w:type="dxa"/>
        <w:tblLayout w:type="fixed"/>
        <w:tblLook w:val="04A0" w:firstRow="1" w:lastRow="0" w:firstColumn="1" w:lastColumn="0" w:noHBand="0" w:noVBand="1"/>
      </w:tblPr>
      <w:tblGrid>
        <w:gridCol w:w="400"/>
        <w:gridCol w:w="390"/>
        <w:gridCol w:w="390"/>
        <w:gridCol w:w="1538"/>
        <w:gridCol w:w="745"/>
        <w:gridCol w:w="868"/>
        <w:gridCol w:w="675"/>
        <w:gridCol w:w="1238"/>
        <w:gridCol w:w="1013"/>
        <w:gridCol w:w="1027"/>
        <w:gridCol w:w="1083"/>
        <w:gridCol w:w="999"/>
        <w:gridCol w:w="1041"/>
        <w:gridCol w:w="928"/>
        <w:gridCol w:w="858"/>
        <w:gridCol w:w="942"/>
        <w:gridCol w:w="765"/>
      </w:tblGrid>
      <w:tr w:rsidR="00D62EB9">
        <w:trPr>
          <w:trHeight w:val="795"/>
        </w:trPr>
        <w:tc>
          <w:tcPr>
            <w:tcW w:w="14900" w:type="dxa"/>
            <w:gridSpan w:val="17"/>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一般公共预算财政拨款收入支出决算表</w:t>
            </w:r>
          </w:p>
        </w:tc>
      </w:tr>
      <w:tr w:rsidR="00D62EB9">
        <w:trPr>
          <w:trHeight w:val="508"/>
        </w:trPr>
        <w:tc>
          <w:tcPr>
            <w:tcW w:w="40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39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39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53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74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86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67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23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13"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27"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83"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999"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41"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92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85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707"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05</w:t>
            </w:r>
            <w:r>
              <w:rPr>
                <w:rFonts w:ascii="宋体" w:eastAsia="宋体" w:hAnsi="宋体" w:cs="宋体" w:hint="eastAsia"/>
                <w:color w:val="000000"/>
                <w:kern w:val="0"/>
                <w:sz w:val="20"/>
                <w:szCs w:val="20"/>
                <w:lang w:bidi="ar"/>
              </w:rPr>
              <w:t>表</w:t>
            </w:r>
          </w:p>
        </w:tc>
      </w:tr>
      <w:tr w:rsidR="00D62EB9">
        <w:trPr>
          <w:trHeight w:val="508"/>
        </w:trPr>
        <w:tc>
          <w:tcPr>
            <w:tcW w:w="2718" w:type="dxa"/>
            <w:gridSpan w:val="4"/>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74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86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675"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23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13"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27"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83"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999"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041"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92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858"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1707" w:type="dxa"/>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711"/>
        </w:trPr>
        <w:tc>
          <w:tcPr>
            <w:tcW w:w="118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科目代码</w:t>
            </w:r>
          </w:p>
        </w:tc>
        <w:tc>
          <w:tcPr>
            <w:tcW w:w="1538" w:type="dxa"/>
            <w:vMerge w:val="restart"/>
            <w:tcBorders>
              <w:top w:val="single" w:sz="4" w:space="0" w:color="000000"/>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2288" w:type="dxa"/>
            <w:gridSpan w:val="3"/>
            <w:tcBorders>
              <w:top w:val="single" w:sz="4" w:space="0" w:color="000000"/>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3278" w:type="dxa"/>
            <w:gridSpan w:val="3"/>
            <w:tcBorders>
              <w:top w:val="single" w:sz="4" w:space="0" w:color="000000"/>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w:t>
            </w:r>
          </w:p>
        </w:tc>
        <w:tc>
          <w:tcPr>
            <w:tcW w:w="3123" w:type="dxa"/>
            <w:gridSpan w:val="3"/>
            <w:tcBorders>
              <w:top w:val="single" w:sz="4" w:space="0" w:color="000000"/>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c>
          <w:tcPr>
            <w:tcW w:w="3493" w:type="dxa"/>
            <w:gridSpan w:val="4"/>
            <w:tcBorders>
              <w:top w:val="single" w:sz="4" w:space="0" w:color="000000"/>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r>
      <w:tr w:rsidR="00D62EB9">
        <w:trPr>
          <w:trHeight w:val="817"/>
        </w:trPr>
        <w:tc>
          <w:tcPr>
            <w:tcW w:w="1180" w:type="dxa"/>
            <w:gridSpan w:val="3"/>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538" w:type="dxa"/>
            <w:vMerge/>
            <w:tcBorders>
              <w:top w:val="single" w:sz="4" w:space="0" w:color="000000"/>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745"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868"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基本支出结转</w:t>
            </w:r>
          </w:p>
        </w:tc>
        <w:tc>
          <w:tcPr>
            <w:tcW w:w="675"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项目支出结转和结余</w:t>
            </w:r>
          </w:p>
        </w:tc>
        <w:tc>
          <w:tcPr>
            <w:tcW w:w="1238"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013"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027"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1083"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99"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041"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928"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858" w:type="dxa"/>
            <w:vMerge w:val="restart"/>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基本支出结转</w:t>
            </w:r>
          </w:p>
        </w:tc>
        <w:tc>
          <w:tcPr>
            <w:tcW w:w="1707" w:type="dxa"/>
            <w:gridSpan w:val="2"/>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项目支出结转和结余</w:t>
            </w:r>
          </w:p>
        </w:tc>
      </w:tr>
      <w:tr w:rsidR="00D62EB9">
        <w:trPr>
          <w:trHeight w:val="1215"/>
        </w:trPr>
        <w:tc>
          <w:tcPr>
            <w:tcW w:w="1180" w:type="dxa"/>
            <w:gridSpan w:val="3"/>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538" w:type="dxa"/>
            <w:vMerge/>
            <w:tcBorders>
              <w:top w:val="single" w:sz="4" w:space="0" w:color="000000"/>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745"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868"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675"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238"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013"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027"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083"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999"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1041"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928"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858" w:type="dxa"/>
            <w:vMerge/>
            <w:tcBorders>
              <w:top w:val="nil"/>
              <w:left w:val="nil"/>
              <w:bottom w:val="single" w:sz="4" w:space="0" w:color="000000"/>
              <w:right w:val="single" w:sz="4" w:space="0" w:color="000000"/>
            </w:tcBorders>
            <w:shd w:val="clear" w:color="auto" w:fill="auto"/>
            <w:noWrap/>
            <w:vAlign w:val="center"/>
          </w:tcPr>
          <w:p w:rsidR="00D62EB9" w:rsidRDefault="00D62EB9">
            <w:pPr>
              <w:jc w:val="center"/>
              <w:rPr>
                <w:rFonts w:ascii="宋体" w:eastAsia="宋体" w:hAnsi="宋体" w:cs="宋体"/>
                <w:color w:val="000000"/>
                <w:sz w:val="20"/>
                <w:szCs w:val="20"/>
              </w:rPr>
            </w:pPr>
          </w:p>
        </w:tc>
        <w:tc>
          <w:tcPr>
            <w:tcW w:w="942" w:type="dxa"/>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w:t>
            </w:r>
          </w:p>
        </w:tc>
        <w:tc>
          <w:tcPr>
            <w:tcW w:w="765" w:type="dxa"/>
            <w:tcBorders>
              <w:top w:val="nil"/>
              <w:left w:val="nil"/>
              <w:bottom w:val="single" w:sz="4" w:space="0" w:color="000000"/>
              <w:right w:val="single" w:sz="4" w:space="0" w:color="000000"/>
            </w:tcBorders>
            <w:shd w:val="clear" w:color="auto" w:fill="auto"/>
            <w:noWrap/>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项目支出结余</w:t>
            </w:r>
          </w:p>
        </w:tc>
      </w:tr>
      <w:tr w:rsidR="00D62EB9">
        <w:trPr>
          <w:trHeight w:val="711"/>
        </w:trPr>
        <w:tc>
          <w:tcPr>
            <w:tcW w:w="400"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类</w:t>
            </w:r>
          </w:p>
        </w:tc>
        <w:tc>
          <w:tcPr>
            <w:tcW w:w="390"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款</w:t>
            </w:r>
          </w:p>
        </w:tc>
        <w:tc>
          <w:tcPr>
            <w:tcW w:w="390"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67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104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c>
          <w:tcPr>
            <w:tcW w:w="76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w:t>
            </w:r>
          </w:p>
        </w:tc>
      </w:tr>
      <w:tr w:rsidR="00D62EB9">
        <w:trPr>
          <w:trHeight w:val="711"/>
        </w:trPr>
        <w:tc>
          <w:tcPr>
            <w:tcW w:w="400"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390"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390"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46.94</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46.52</w:t>
            </w:r>
          </w:p>
        </w:tc>
        <w:tc>
          <w:tcPr>
            <w:tcW w:w="67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0.42</w:t>
            </w: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2,331.38</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644.15</w:t>
            </w: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1,687.23</w:t>
            </w: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2,065.78</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640.03</w:t>
            </w:r>
          </w:p>
        </w:tc>
        <w:tc>
          <w:tcPr>
            <w:tcW w:w="1041"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1,425.75</w:t>
            </w: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312.54</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50.64</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261.90</w:t>
            </w: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817"/>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8.38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8.38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16.37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16.37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817"/>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行政事业单位养老支出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8.38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8.38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104.93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96.94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16.37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16.37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1215"/>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2.55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2.55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66.70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66.70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64.63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64.63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4.62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4.62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1215"/>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lastRenderedPageBreak/>
              <w:t>2080506</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5.84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5.84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38.23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38.23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32.31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32.31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11.75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11.75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2.02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1.60 </w:t>
            </w:r>
          </w:p>
        </w:tc>
        <w:tc>
          <w:tcPr>
            <w:tcW w:w="67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0.42 </w:t>
            </w: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2,148.07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460.84 </w:t>
            </w: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1,883.89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458.14 </w:t>
            </w:r>
          </w:p>
        </w:tc>
        <w:tc>
          <w:tcPr>
            <w:tcW w:w="1041"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266.20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4.30 </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261.90 </w:t>
            </w: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中医药事务</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2.02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1.60 </w:t>
            </w:r>
          </w:p>
        </w:tc>
        <w:tc>
          <w:tcPr>
            <w:tcW w:w="67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0.42 </w:t>
            </w: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2,148.07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460.84 </w:t>
            </w: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1,883.89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458.14 </w:t>
            </w:r>
          </w:p>
        </w:tc>
        <w:tc>
          <w:tcPr>
            <w:tcW w:w="1041"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266.20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4.30 </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261.90 </w:t>
            </w: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2101750</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事业运行</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1.60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1.60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460.84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460.84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458.14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458.14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4.30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4.30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817"/>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2101799</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其他中医药事务支出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0.42 </w:t>
            </w:r>
          </w:p>
        </w:tc>
        <w:tc>
          <w:tcPr>
            <w:tcW w:w="86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67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0.42 </w:t>
            </w: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01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1,687.23 </w:t>
            </w: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99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41"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1,425.75 </w:t>
            </w: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261.90 </w:t>
            </w:r>
          </w:p>
        </w:tc>
        <w:tc>
          <w:tcPr>
            <w:tcW w:w="85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261.90 </w:t>
            </w: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36.54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36.54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84.95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84.95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29.97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29.97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住房改革支出</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36.54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36.54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78.38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84.95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84.95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29.97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29.97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74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86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47.55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47.55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47.55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47.55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858"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11"/>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2210202</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提租补贴</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9.25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9.25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2.71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2.71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3.10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3.10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8.85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8.85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33"/>
        </w:trPr>
        <w:tc>
          <w:tcPr>
            <w:tcW w:w="1180" w:type="dxa"/>
            <w:gridSpan w:val="3"/>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2210203</w:t>
            </w:r>
          </w:p>
        </w:tc>
        <w:tc>
          <w:tcPr>
            <w:tcW w:w="1538"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购房补贴</w:t>
            </w:r>
          </w:p>
        </w:tc>
        <w:tc>
          <w:tcPr>
            <w:tcW w:w="745"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27.29 </w:t>
            </w:r>
          </w:p>
        </w:tc>
        <w:tc>
          <w:tcPr>
            <w:tcW w:w="86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27.29 </w:t>
            </w:r>
          </w:p>
        </w:tc>
        <w:tc>
          <w:tcPr>
            <w:tcW w:w="67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28.12 </w:t>
            </w:r>
          </w:p>
        </w:tc>
        <w:tc>
          <w:tcPr>
            <w:tcW w:w="101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28.12 </w:t>
            </w:r>
          </w:p>
        </w:tc>
        <w:tc>
          <w:tcPr>
            <w:tcW w:w="102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8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34.30 </w:t>
            </w:r>
          </w:p>
        </w:tc>
        <w:tc>
          <w:tcPr>
            <w:tcW w:w="99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34.30 </w:t>
            </w:r>
          </w:p>
        </w:tc>
        <w:tc>
          <w:tcPr>
            <w:tcW w:w="104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2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21.12 </w:t>
            </w:r>
          </w:p>
        </w:tc>
        <w:tc>
          <w:tcPr>
            <w:tcW w:w="858"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21.12 </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76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340" w:type="dxa"/>
        <w:tblInd w:w="93" w:type="dxa"/>
        <w:tblLook w:val="04A0" w:firstRow="1" w:lastRow="0" w:firstColumn="1" w:lastColumn="0" w:noHBand="0" w:noVBand="1"/>
      </w:tblPr>
      <w:tblGrid>
        <w:gridCol w:w="1150"/>
        <w:gridCol w:w="2820"/>
        <w:gridCol w:w="942"/>
        <w:gridCol w:w="763"/>
        <w:gridCol w:w="2387"/>
        <w:gridCol w:w="1049"/>
        <w:gridCol w:w="763"/>
        <w:gridCol w:w="3393"/>
        <w:gridCol w:w="1073"/>
      </w:tblGrid>
      <w:tr w:rsidR="00D62EB9">
        <w:trPr>
          <w:trHeight w:val="927"/>
        </w:trPr>
        <w:tc>
          <w:tcPr>
            <w:tcW w:w="14340" w:type="dxa"/>
            <w:gridSpan w:val="9"/>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6"/>
                <w:szCs w:val="36"/>
              </w:rPr>
            </w:pPr>
            <w:r>
              <w:rPr>
                <w:rFonts w:ascii="宋体" w:eastAsia="宋体" w:hAnsi="宋体" w:cs="宋体" w:hint="eastAsia"/>
                <w:color w:val="000000"/>
                <w:kern w:val="0"/>
                <w:sz w:val="36"/>
                <w:szCs w:val="36"/>
                <w:lang w:bidi="ar"/>
              </w:rPr>
              <w:lastRenderedPageBreak/>
              <w:t>一般公共预算财政拨款基本支出决算明细表</w:t>
            </w:r>
          </w:p>
        </w:tc>
      </w:tr>
      <w:tr w:rsidR="00D62EB9">
        <w:trPr>
          <w:trHeight w:val="463"/>
        </w:trPr>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2820"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942"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18"/>
                <w:szCs w:val="18"/>
              </w:rPr>
            </w:pPr>
            <w:proofErr w:type="gramStart"/>
            <w:r>
              <w:rPr>
                <w:rFonts w:ascii="宋体" w:eastAsia="宋体" w:hAnsi="宋体" w:cs="宋体" w:hint="eastAsia"/>
                <w:color w:val="000000"/>
                <w:kern w:val="0"/>
                <w:sz w:val="18"/>
                <w:szCs w:val="18"/>
                <w:lang w:bidi="ar"/>
              </w:rPr>
              <w:t>财决</w:t>
            </w:r>
            <w:proofErr w:type="gramEnd"/>
            <w:r>
              <w:rPr>
                <w:rFonts w:ascii="宋体" w:eastAsia="宋体" w:hAnsi="宋体" w:cs="宋体" w:hint="eastAsia"/>
                <w:color w:val="000000"/>
                <w:kern w:val="0"/>
                <w:sz w:val="18"/>
                <w:szCs w:val="18"/>
                <w:lang w:bidi="ar"/>
              </w:rPr>
              <w:t>06</w:t>
            </w:r>
            <w:r>
              <w:rPr>
                <w:rFonts w:ascii="宋体" w:eastAsia="宋体" w:hAnsi="宋体" w:cs="宋体" w:hint="eastAsia"/>
                <w:color w:val="000000"/>
                <w:kern w:val="0"/>
                <w:sz w:val="18"/>
                <w:szCs w:val="18"/>
                <w:lang w:bidi="ar"/>
              </w:rPr>
              <w:t>表</w:t>
            </w:r>
          </w:p>
        </w:tc>
      </w:tr>
      <w:tr w:rsidR="00D62EB9">
        <w:trPr>
          <w:trHeight w:val="463"/>
        </w:trPr>
        <w:tc>
          <w:tcPr>
            <w:tcW w:w="3970" w:type="dxa"/>
            <w:gridSpan w:val="2"/>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单位：国家中医药博物馆</w:t>
            </w:r>
          </w:p>
        </w:tc>
        <w:tc>
          <w:tcPr>
            <w:tcW w:w="942" w:type="dxa"/>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Cs w:val="21"/>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金额单位：万元</w:t>
            </w:r>
          </w:p>
        </w:tc>
      </w:tr>
      <w:tr w:rsidR="00D62EB9">
        <w:trPr>
          <w:trHeight w:val="942"/>
        </w:trPr>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科目代码</w:t>
            </w:r>
          </w:p>
        </w:tc>
        <w:tc>
          <w:tcPr>
            <w:tcW w:w="2820"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科目名称</w:t>
            </w:r>
          </w:p>
        </w:tc>
        <w:tc>
          <w:tcPr>
            <w:tcW w:w="942"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决算数</w:t>
            </w:r>
          </w:p>
        </w:tc>
        <w:tc>
          <w:tcPr>
            <w:tcW w:w="763"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科目代码</w:t>
            </w:r>
          </w:p>
        </w:tc>
        <w:tc>
          <w:tcPr>
            <w:tcW w:w="2387"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科目名称</w:t>
            </w:r>
          </w:p>
        </w:tc>
        <w:tc>
          <w:tcPr>
            <w:tcW w:w="1049"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决算数</w:t>
            </w:r>
          </w:p>
        </w:tc>
        <w:tc>
          <w:tcPr>
            <w:tcW w:w="763"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科目代码</w:t>
            </w:r>
          </w:p>
        </w:tc>
        <w:tc>
          <w:tcPr>
            <w:tcW w:w="3393"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科目名称</w:t>
            </w:r>
          </w:p>
        </w:tc>
        <w:tc>
          <w:tcPr>
            <w:tcW w:w="1073" w:type="dxa"/>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决算数</w:t>
            </w: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工资福利支出</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553.89</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商品和服务支出</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84.60</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307</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债务利息及费用支出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30101</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基本工资</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129.04</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30201</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办公费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5.78</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30701</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国内债务付息</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30102</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津贴补贴</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66.10</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30202</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印刷费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1.68</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30702</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国外债务付息</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30103</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奖金</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30204</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手续费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资本性支出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1.40</w:t>
            </w: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30106</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伙食补助费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30205</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水费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31001</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房屋建筑物购建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30107</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绩效工资</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214.26</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30206</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电费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1.45</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31002</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办公设备购置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0.42</w:t>
            </w:r>
          </w:p>
        </w:tc>
      </w:tr>
      <w:tr w:rsidR="00D62EB9">
        <w:trPr>
          <w:trHeight w:val="942"/>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30108</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机关事业单位基本养老保险缴费</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64.63</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30207</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邮电费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11.62</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31003</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专用设备购置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30109</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职业年金缴费</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32.31</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30208</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取暖费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5.21</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31005</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基础设施建设</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30110</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职工基本医疗保险缴费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30209</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物业管理费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31006</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大型修缮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30111</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公务员医疗补助缴费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30211</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差旅费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2.08</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31007</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信息网络及软件购置更新</w:t>
            </w:r>
          </w:p>
        </w:tc>
        <w:tc>
          <w:tcPr>
            <w:tcW w:w="107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0.98</w:t>
            </w: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30112</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其他社会保障缴费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30212</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因公出国（境）费用</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31008</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物资储备</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30113</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住房公积金</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47.55</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30213</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维修（护）费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0.18</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31009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土地补偿</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lastRenderedPageBreak/>
              <w:t>30114</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医疗费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30214</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租赁费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31010</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安置补助</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30199</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其他工资福利支出</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30215</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会议费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0.80</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31011</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地上附着物和青苗补偿</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对个人和家庭的补助</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0.14</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30216</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培训费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0.22</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31012</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拆迁补偿</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30301</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离休费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30217</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公务接待费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31013</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公务用车购置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30302</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退休费</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0.04</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30218</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专用材料费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31019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其他交通工具购置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30303</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退职（役）费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30224</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被装购置费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31021</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文物和陈列品购置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30304</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抚恤金</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30225</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专用燃料费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31022</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无形资产购置</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30305</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生活补助</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30226</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劳务费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1.22</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31099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其他资本性支出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30306</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救济费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30227</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委托业务费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19.91</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其他支出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30307</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医疗费补助</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30228</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工会经费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16.17</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39907</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国家赔偿费用支出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942"/>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30308</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助学金</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30229</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福利费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39908</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对民间非营利组织和群众性自治组织补贴</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30309</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奖励金</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30231</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公务用车运行维护费</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39909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经常性赠与</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30310</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个人农业生产补贴</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30239</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其他交通费用</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39910</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资本性赠与</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30311</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代缴社会保险费</w:t>
            </w: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30240</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税金及附加费用</w:t>
            </w: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39999</w:t>
            </w:r>
          </w:p>
        </w:tc>
        <w:tc>
          <w:tcPr>
            <w:tcW w:w="339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其他支出</w:t>
            </w: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30399</w:t>
            </w:r>
          </w:p>
        </w:tc>
        <w:tc>
          <w:tcPr>
            <w:tcW w:w="2820"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其他对个人和家庭的补助</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0.11</w:t>
            </w:r>
          </w:p>
        </w:tc>
        <w:tc>
          <w:tcPr>
            <w:tcW w:w="763"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30299</w:t>
            </w:r>
          </w:p>
        </w:tc>
        <w:tc>
          <w:tcPr>
            <w:tcW w:w="2387" w:type="dxa"/>
            <w:tcBorders>
              <w:top w:val="nil"/>
              <w:left w:val="nil"/>
              <w:bottom w:val="single" w:sz="4" w:space="0" w:color="000000"/>
              <w:right w:val="single" w:sz="4" w:space="0" w:color="000000"/>
            </w:tcBorders>
            <w:shd w:val="clear" w:color="auto" w:fill="auto"/>
            <w:vAlign w:val="center"/>
          </w:tcPr>
          <w:p w:rsidR="00D62EB9" w:rsidRDefault="00D27420">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其他商品和服务支出</w:t>
            </w:r>
          </w:p>
        </w:tc>
        <w:tc>
          <w:tcPr>
            <w:tcW w:w="1049"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18.29</w:t>
            </w:r>
          </w:p>
        </w:tc>
        <w:tc>
          <w:tcPr>
            <w:tcW w:w="76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339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r>
      <w:tr w:rsidR="00D62EB9">
        <w:trPr>
          <w:trHeight w:val="478"/>
        </w:trPr>
        <w:tc>
          <w:tcPr>
            <w:tcW w:w="1150"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2820"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942"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2387"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1049"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76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339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c>
          <w:tcPr>
            <w:tcW w:w="1073" w:type="dxa"/>
            <w:tcBorders>
              <w:top w:val="nil"/>
              <w:left w:val="nil"/>
              <w:bottom w:val="single" w:sz="4" w:space="0" w:color="000000"/>
              <w:right w:val="single" w:sz="4" w:space="0" w:color="000000"/>
            </w:tcBorders>
            <w:shd w:val="clear" w:color="auto" w:fill="auto"/>
            <w:vAlign w:val="center"/>
          </w:tcPr>
          <w:p w:rsidR="00D62EB9" w:rsidRDefault="00D62EB9">
            <w:pPr>
              <w:jc w:val="left"/>
              <w:rPr>
                <w:rFonts w:ascii="宋体" w:eastAsia="宋体" w:hAnsi="宋体" w:cs="宋体"/>
                <w:color w:val="000000"/>
                <w:sz w:val="18"/>
                <w:szCs w:val="18"/>
              </w:rPr>
            </w:pPr>
          </w:p>
        </w:tc>
      </w:tr>
      <w:tr w:rsidR="00D62EB9">
        <w:trPr>
          <w:trHeight w:val="493"/>
        </w:trPr>
        <w:tc>
          <w:tcPr>
            <w:tcW w:w="3970" w:type="dxa"/>
            <w:gridSpan w:val="2"/>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人员经费合计</w:t>
            </w:r>
          </w:p>
        </w:tc>
        <w:tc>
          <w:tcPr>
            <w:tcW w:w="942"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554.03</w:t>
            </w:r>
          </w:p>
        </w:tc>
        <w:tc>
          <w:tcPr>
            <w:tcW w:w="8355" w:type="dxa"/>
            <w:gridSpan w:val="5"/>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公用经费合计</w:t>
            </w:r>
          </w:p>
        </w:tc>
        <w:tc>
          <w:tcPr>
            <w:tcW w:w="1073" w:type="dxa"/>
            <w:tcBorders>
              <w:top w:val="nil"/>
              <w:left w:val="nil"/>
              <w:bottom w:val="single" w:sz="4" w:space="0" w:color="000000"/>
              <w:right w:val="single" w:sz="4" w:space="0" w:color="000000"/>
            </w:tcBorders>
            <w:shd w:val="clear" w:color="auto" w:fill="auto"/>
            <w:vAlign w:val="center"/>
          </w:tcPr>
          <w:p w:rsidR="00D62EB9" w:rsidRDefault="00D27420">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86.00</w:t>
            </w:r>
          </w:p>
        </w:tc>
      </w:tr>
    </w:tbl>
    <w:p w:rsidR="00D62EB9" w:rsidRDefault="00D62EB9">
      <w:pPr>
        <w:spacing w:line="600" w:lineRule="exact"/>
        <w:ind w:firstLineChars="200" w:firstLine="640"/>
        <w:rPr>
          <w:rFonts w:ascii="仿宋_GB2312" w:eastAsia="仿宋_GB2312"/>
          <w:sz w:val="32"/>
          <w:szCs w:val="32"/>
        </w:rPr>
      </w:pPr>
    </w:p>
    <w:tbl>
      <w:tblPr>
        <w:tblW w:w="14420" w:type="dxa"/>
        <w:tblInd w:w="93" w:type="dxa"/>
        <w:tblLook w:val="04A0" w:firstRow="1" w:lastRow="0" w:firstColumn="1" w:lastColumn="0" w:noHBand="0" w:noVBand="1"/>
      </w:tblPr>
      <w:tblGrid>
        <w:gridCol w:w="446"/>
        <w:gridCol w:w="446"/>
        <w:gridCol w:w="446"/>
        <w:gridCol w:w="1078"/>
        <w:gridCol w:w="905"/>
        <w:gridCol w:w="905"/>
        <w:gridCol w:w="905"/>
        <w:gridCol w:w="905"/>
        <w:gridCol w:w="905"/>
        <w:gridCol w:w="905"/>
        <w:gridCol w:w="905"/>
        <w:gridCol w:w="905"/>
        <w:gridCol w:w="905"/>
        <w:gridCol w:w="905"/>
        <w:gridCol w:w="1016"/>
        <w:gridCol w:w="1016"/>
        <w:gridCol w:w="1036"/>
      </w:tblGrid>
      <w:tr w:rsidR="00D62EB9">
        <w:trPr>
          <w:trHeight w:val="698"/>
        </w:trPr>
        <w:tc>
          <w:tcPr>
            <w:tcW w:w="14420" w:type="dxa"/>
            <w:gridSpan w:val="17"/>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t>政府性基金预算财政拨款收入支出决算表</w:t>
            </w:r>
          </w:p>
        </w:tc>
      </w:tr>
      <w:tr w:rsidR="00D62EB9">
        <w:trPr>
          <w:trHeight w:val="438"/>
        </w:trPr>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07</w:t>
            </w:r>
            <w:r>
              <w:rPr>
                <w:rFonts w:ascii="宋体" w:eastAsia="宋体" w:hAnsi="宋体" w:cs="宋体" w:hint="eastAsia"/>
                <w:color w:val="000000"/>
                <w:kern w:val="0"/>
                <w:sz w:val="20"/>
                <w:szCs w:val="20"/>
                <w:lang w:bidi="ar"/>
              </w:rPr>
              <w:t>表</w:t>
            </w:r>
          </w:p>
        </w:tc>
      </w:tr>
      <w:tr w:rsidR="00D62EB9">
        <w:trPr>
          <w:trHeight w:val="438"/>
        </w:trPr>
        <w:tc>
          <w:tcPr>
            <w:tcW w:w="0" w:type="auto"/>
            <w:gridSpan w:val="4"/>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754"/>
        </w:trPr>
        <w:tc>
          <w:tcPr>
            <w:tcW w:w="127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科目代码</w:t>
            </w:r>
          </w:p>
        </w:tc>
        <w:tc>
          <w:tcPr>
            <w:tcW w:w="1027" w:type="dxa"/>
            <w:vMerge w:val="restart"/>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2715"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2715"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w:t>
            </w:r>
          </w:p>
        </w:tc>
        <w:tc>
          <w:tcPr>
            <w:tcW w:w="2715"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c>
          <w:tcPr>
            <w:tcW w:w="3973" w:type="dxa"/>
            <w:gridSpan w:val="4"/>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r>
      <w:tr w:rsidR="00D62EB9">
        <w:trPr>
          <w:trHeight w:val="754"/>
        </w:trPr>
        <w:tc>
          <w:tcPr>
            <w:tcW w:w="127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27"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基本支出结转</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项目支出结转和结余</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90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016"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基本支出结转</w:t>
            </w:r>
          </w:p>
        </w:tc>
        <w:tc>
          <w:tcPr>
            <w:tcW w:w="2052" w:type="dxa"/>
            <w:gridSpan w:val="2"/>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项目支出结转和结余</w:t>
            </w:r>
          </w:p>
        </w:tc>
      </w:tr>
      <w:tr w:rsidR="00D62EB9">
        <w:trPr>
          <w:trHeight w:val="754"/>
        </w:trPr>
        <w:tc>
          <w:tcPr>
            <w:tcW w:w="127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27"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90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16"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项目支出结转</w:t>
            </w:r>
          </w:p>
        </w:tc>
        <w:tc>
          <w:tcPr>
            <w:tcW w:w="103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项目支出结余</w:t>
            </w:r>
          </w:p>
        </w:tc>
      </w:tr>
      <w:tr w:rsidR="00D62EB9">
        <w:trPr>
          <w:trHeight w:val="754"/>
        </w:trPr>
        <w:tc>
          <w:tcPr>
            <w:tcW w:w="425"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类</w:t>
            </w:r>
          </w:p>
        </w:tc>
        <w:tc>
          <w:tcPr>
            <w:tcW w:w="42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款</w:t>
            </w:r>
          </w:p>
        </w:tc>
        <w:tc>
          <w:tcPr>
            <w:tcW w:w="42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w:t>
            </w: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90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10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101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c>
          <w:tcPr>
            <w:tcW w:w="103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w:t>
            </w:r>
          </w:p>
        </w:tc>
      </w:tr>
      <w:tr w:rsidR="00D62EB9">
        <w:trPr>
          <w:trHeight w:val="754"/>
        </w:trPr>
        <w:tc>
          <w:tcPr>
            <w:tcW w:w="425"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2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2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027"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1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03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787"/>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rsidR="00D62EB9" w:rsidRDefault="00D62EB9">
            <w:pPr>
              <w:jc w:val="lef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lef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640" w:type="dxa"/>
        <w:tblInd w:w="93" w:type="dxa"/>
        <w:tblLook w:val="04A0" w:firstRow="1" w:lastRow="0" w:firstColumn="1" w:lastColumn="0" w:noHBand="0" w:noVBand="1"/>
      </w:tblPr>
      <w:tblGrid>
        <w:gridCol w:w="1219"/>
        <w:gridCol w:w="1219"/>
        <w:gridCol w:w="1219"/>
        <w:gridCol w:w="1219"/>
        <w:gridCol w:w="1219"/>
        <w:gridCol w:w="1219"/>
        <w:gridCol w:w="1219"/>
        <w:gridCol w:w="1219"/>
        <w:gridCol w:w="1219"/>
        <w:gridCol w:w="1219"/>
        <w:gridCol w:w="1219"/>
        <w:gridCol w:w="1231"/>
      </w:tblGrid>
      <w:tr w:rsidR="00D62EB9">
        <w:trPr>
          <w:trHeight w:val="719"/>
        </w:trPr>
        <w:tc>
          <w:tcPr>
            <w:tcW w:w="14640" w:type="dxa"/>
            <w:gridSpan w:val="12"/>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国有资本经营预算财政拨款收入支出决算表</w:t>
            </w:r>
          </w:p>
        </w:tc>
      </w:tr>
      <w:tr w:rsidR="00D62EB9">
        <w:trPr>
          <w:trHeight w:val="461"/>
        </w:trPr>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08</w:t>
            </w:r>
            <w:r>
              <w:rPr>
                <w:rFonts w:ascii="宋体" w:eastAsia="宋体" w:hAnsi="宋体" w:cs="宋体" w:hint="eastAsia"/>
                <w:color w:val="000000"/>
                <w:kern w:val="0"/>
                <w:sz w:val="20"/>
                <w:szCs w:val="20"/>
                <w:lang w:bidi="ar"/>
              </w:rPr>
              <w:t>表</w:t>
            </w:r>
          </w:p>
        </w:tc>
      </w:tr>
      <w:tr w:rsidR="00D62EB9">
        <w:trPr>
          <w:trHeight w:val="622"/>
        </w:trPr>
        <w:tc>
          <w:tcPr>
            <w:tcW w:w="0" w:type="auto"/>
            <w:gridSpan w:val="4"/>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653"/>
        </w:trPr>
        <w:tc>
          <w:tcPr>
            <w:tcW w:w="365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科目代码</w:t>
            </w:r>
          </w:p>
        </w:tc>
        <w:tc>
          <w:tcPr>
            <w:tcW w:w="1219" w:type="dxa"/>
            <w:vMerge w:val="restart"/>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3657"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1219" w:type="dxa"/>
            <w:vMerge w:val="restart"/>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w:t>
            </w:r>
          </w:p>
        </w:tc>
        <w:tc>
          <w:tcPr>
            <w:tcW w:w="1219" w:type="dxa"/>
            <w:vMerge w:val="restart"/>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c>
          <w:tcPr>
            <w:tcW w:w="3669" w:type="dxa"/>
            <w:gridSpan w:val="3"/>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r>
      <w:tr w:rsidR="00D62EB9">
        <w:trPr>
          <w:trHeight w:val="653"/>
        </w:trPr>
        <w:tc>
          <w:tcPr>
            <w:tcW w:w="365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结转</w:t>
            </w: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结余</w:t>
            </w: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结转</w:t>
            </w:r>
          </w:p>
        </w:tc>
        <w:tc>
          <w:tcPr>
            <w:tcW w:w="1231"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结余</w:t>
            </w:r>
          </w:p>
        </w:tc>
      </w:tr>
      <w:tr w:rsidR="00D62EB9">
        <w:trPr>
          <w:trHeight w:val="653"/>
        </w:trPr>
        <w:tc>
          <w:tcPr>
            <w:tcW w:w="365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31"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r>
      <w:tr w:rsidR="00D62EB9">
        <w:trPr>
          <w:trHeight w:val="653"/>
        </w:trPr>
        <w:tc>
          <w:tcPr>
            <w:tcW w:w="1219"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类</w:t>
            </w: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款</w:t>
            </w:r>
          </w:p>
        </w:tc>
        <w:tc>
          <w:tcPr>
            <w:tcW w:w="12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123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r>
      <w:tr w:rsidR="00D62EB9">
        <w:trPr>
          <w:trHeight w:val="653"/>
        </w:trPr>
        <w:tc>
          <w:tcPr>
            <w:tcW w:w="1219"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23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r w:rsidR="00D62EB9">
        <w:trPr>
          <w:trHeight w:val="687"/>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tcPr>
          <w:p w:rsidR="00D62EB9" w:rsidRDefault="00D62EB9">
            <w:pPr>
              <w:jc w:val="lef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lef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c>
          <w:tcPr>
            <w:tcW w:w="0" w:type="auto"/>
            <w:tcBorders>
              <w:top w:val="nil"/>
              <w:left w:val="nil"/>
              <w:bottom w:val="single" w:sz="4" w:space="0" w:color="000000"/>
              <w:right w:val="single" w:sz="4" w:space="0" w:color="000000"/>
            </w:tcBorders>
            <w:shd w:val="clear" w:color="auto" w:fill="auto"/>
            <w:noWrap/>
            <w:vAlign w:val="center"/>
          </w:tcPr>
          <w:p w:rsidR="00D62EB9" w:rsidRDefault="00D62EB9">
            <w:pPr>
              <w:jc w:val="right"/>
              <w:rPr>
                <w:rFonts w:ascii="宋体" w:eastAsia="宋体" w:hAnsi="宋体" w:cs="宋体"/>
                <w:color w:val="000000"/>
                <w:sz w:val="24"/>
                <w:szCs w:val="24"/>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tbl>
      <w:tblPr>
        <w:tblW w:w="14480" w:type="dxa"/>
        <w:tblInd w:w="93" w:type="dxa"/>
        <w:tblLook w:val="04A0" w:firstRow="1" w:lastRow="0" w:firstColumn="1" w:lastColumn="0" w:noHBand="0" w:noVBand="1"/>
      </w:tblPr>
      <w:tblGrid>
        <w:gridCol w:w="663"/>
        <w:gridCol w:w="1753"/>
        <w:gridCol w:w="1519"/>
        <w:gridCol w:w="1519"/>
        <w:gridCol w:w="1519"/>
        <w:gridCol w:w="917"/>
        <w:gridCol w:w="416"/>
        <w:gridCol w:w="1519"/>
        <w:gridCol w:w="416"/>
        <w:gridCol w:w="1519"/>
        <w:gridCol w:w="1521"/>
        <w:gridCol w:w="1505"/>
      </w:tblGrid>
      <w:tr w:rsidR="00D62EB9">
        <w:trPr>
          <w:trHeight w:val="639"/>
        </w:trPr>
        <w:tc>
          <w:tcPr>
            <w:tcW w:w="14480" w:type="dxa"/>
            <w:gridSpan w:val="12"/>
            <w:tcBorders>
              <w:top w:val="nil"/>
              <w:left w:val="nil"/>
              <w:bottom w:val="nil"/>
              <w:right w:val="nil"/>
            </w:tcBorders>
            <w:shd w:val="clear" w:color="auto" w:fill="auto"/>
            <w:noWrap/>
            <w:vAlign w:val="center"/>
          </w:tcPr>
          <w:p w:rsidR="00D62EB9" w:rsidRDefault="00D27420">
            <w:pPr>
              <w:widowControl/>
              <w:jc w:val="center"/>
              <w:textAlignment w:val="center"/>
              <w:rPr>
                <w:rFonts w:ascii="宋体" w:eastAsia="宋体" w:hAnsi="宋体" w:cs="宋体"/>
                <w:color w:val="000000"/>
                <w:sz w:val="38"/>
                <w:szCs w:val="38"/>
              </w:rPr>
            </w:pPr>
            <w:r>
              <w:rPr>
                <w:rFonts w:ascii="宋体" w:eastAsia="宋体" w:hAnsi="宋体" w:cs="宋体" w:hint="eastAsia"/>
                <w:color w:val="000000"/>
                <w:kern w:val="0"/>
                <w:sz w:val="38"/>
                <w:szCs w:val="38"/>
                <w:lang w:bidi="ar"/>
              </w:rPr>
              <w:lastRenderedPageBreak/>
              <w:t>财政拨款“三公”经费支出决算表</w:t>
            </w:r>
          </w:p>
        </w:tc>
      </w:tr>
      <w:tr w:rsidR="00D62EB9">
        <w:trPr>
          <w:trHeight w:val="410"/>
        </w:trPr>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w:t>
            </w:r>
            <w:proofErr w:type="gramEnd"/>
            <w:r>
              <w:rPr>
                <w:rFonts w:ascii="宋体" w:eastAsia="宋体" w:hAnsi="宋体" w:cs="宋体" w:hint="eastAsia"/>
                <w:color w:val="000000"/>
                <w:kern w:val="0"/>
                <w:sz w:val="20"/>
                <w:szCs w:val="20"/>
                <w:lang w:bidi="ar"/>
              </w:rPr>
              <w:t>09</w:t>
            </w:r>
            <w:r>
              <w:rPr>
                <w:rFonts w:ascii="宋体" w:eastAsia="宋体" w:hAnsi="宋体" w:cs="宋体" w:hint="eastAsia"/>
                <w:color w:val="000000"/>
                <w:kern w:val="0"/>
                <w:sz w:val="20"/>
                <w:szCs w:val="20"/>
                <w:lang w:bidi="ar"/>
              </w:rPr>
              <w:t>表</w:t>
            </w:r>
          </w:p>
        </w:tc>
      </w:tr>
      <w:tr w:rsidR="00D62EB9">
        <w:trPr>
          <w:trHeight w:val="410"/>
        </w:trPr>
        <w:tc>
          <w:tcPr>
            <w:tcW w:w="0" w:type="auto"/>
            <w:gridSpan w:val="2"/>
            <w:tcBorders>
              <w:top w:val="nil"/>
              <w:left w:val="nil"/>
              <w:bottom w:val="nil"/>
              <w:right w:val="nil"/>
            </w:tcBorders>
            <w:shd w:val="clear" w:color="auto" w:fill="auto"/>
            <w:noWrap/>
            <w:vAlign w:val="center"/>
          </w:tcPr>
          <w:p w:rsidR="00D62EB9" w:rsidRDefault="00D27420">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单位：国家中医药博物馆</w:t>
            </w: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tcBorders>
              <w:top w:val="nil"/>
              <w:left w:val="nil"/>
              <w:bottom w:val="nil"/>
              <w:right w:val="nil"/>
            </w:tcBorders>
            <w:shd w:val="clear" w:color="auto" w:fill="auto"/>
            <w:noWrap/>
            <w:vAlign w:val="center"/>
          </w:tcPr>
          <w:p w:rsidR="00D62EB9" w:rsidRDefault="00D62EB9">
            <w:pPr>
              <w:rPr>
                <w:rFonts w:ascii="宋体" w:eastAsia="宋体" w:hAnsi="宋体" w:cs="宋体"/>
                <w:color w:val="000000"/>
                <w:sz w:val="22"/>
              </w:rPr>
            </w:pPr>
          </w:p>
        </w:tc>
        <w:tc>
          <w:tcPr>
            <w:tcW w:w="0" w:type="auto"/>
            <w:gridSpan w:val="2"/>
            <w:tcBorders>
              <w:top w:val="nil"/>
              <w:left w:val="nil"/>
              <w:bottom w:val="nil"/>
              <w:right w:val="nil"/>
            </w:tcBorders>
            <w:shd w:val="clear" w:color="auto" w:fill="auto"/>
            <w:noWrap/>
            <w:vAlign w:val="center"/>
          </w:tcPr>
          <w:p w:rsidR="00D62EB9" w:rsidRDefault="00D27420">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62EB9">
        <w:trPr>
          <w:trHeight w:val="686"/>
        </w:trPr>
        <w:tc>
          <w:tcPr>
            <w:tcW w:w="75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预算数</w:t>
            </w:r>
          </w:p>
        </w:tc>
        <w:tc>
          <w:tcPr>
            <w:tcW w:w="6896" w:type="dxa"/>
            <w:gridSpan w:val="6"/>
            <w:tcBorders>
              <w:top w:val="single" w:sz="4" w:space="0" w:color="000000"/>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决算数</w:t>
            </w:r>
          </w:p>
        </w:tc>
      </w:tr>
      <w:tr w:rsidR="00D62EB9">
        <w:trPr>
          <w:trHeight w:val="686"/>
        </w:trPr>
        <w:tc>
          <w:tcPr>
            <w:tcW w:w="579" w:type="dxa"/>
            <w:vMerge w:val="restart"/>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531"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因公出国</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t>（境）费</w:t>
            </w:r>
          </w:p>
        </w:tc>
        <w:tc>
          <w:tcPr>
            <w:tcW w:w="4557" w:type="dxa"/>
            <w:gridSpan w:val="3"/>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公务用车购置及运行维护费</w:t>
            </w:r>
          </w:p>
        </w:tc>
        <w:tc>
          <w:tcPr>
            <w:tcW w:w="917"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公务接待费</w:t>
            </w:r>
          </w:p>
        </w:tc>
        <w:tc>
          <w:tcPr>
            <w:tcW w:w="406"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519"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因公出国（境）费</w:t>
            </w:r>
          </w:p>
        </w:tc>
        <w:tc>
          <w:tcPr>
            <w:tcW w:w="3446" w:type="dxa"/>
            <w:gridSpan w:val="3"/>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公务用车购置及运行维护费</w:t>
            </w:r>
          </w:p>
        </w:tc>
        <w:tc>
          <w:tcPr>
            <w:tcW w:w="1525" w:type="dxa"/>
            <w:vMerge w:val="restart"/>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公务接待费</w:t>
            </w:r>
          </w:p>
        </w:tc>
      </w:tr>
      <w:tr w:rsidR="00D62EB9">
        <w:trPr>
          <w:trHeight w:val="686"/>
        </w:trPr>
        <w:tc>
          <w:tcPr>
            <w:tcW w:w="579" w:type="dxa"/>
            <w:vMerge/>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531"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公务用车购置费</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公务用车运行维护费</w:t>
            </w:r>
          </w:p>
        </w:tc>
        <w:tc>
          <w:tcPr>
            <w:tcW w:w="917"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06"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1519"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c>
          <w:tcPr>
            <w:tcW w:w="40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公务用车购置费</w:t>
            </w:r>
          </w:p>
        </w:tc>
        <w:tc>
          <w:tcPr>
            <w:tcW w:w="152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公务用车运行维护费</w:t>
            </w:r>
          </w:p>
        </w:tc>
        <w:tc>
          <w:tcPr>
            <w:tcW w:w="1525" w:type="dxa"/>
            <w:vMerge/>
            <w:tcBorders>
              <w:top w:val="nil"/>
              <w:left w:val="nil"/>
              <w:bottom w:val="single" w:sz="4" w:space="0" w:color="000000"/>
              <w:right w:val="single" w:sz="4" w:space="0" w:color="000000"/>
            </w:tcBorders>
            <w:shd w:val="clear" w:color="auto" w:fill="auto"/>
            <w:vAlign w:val="center"/>
          </w:tcPr>
          <w:p w:rsidR="00D62EB9" w:rsidRDefault="00D62EB9">
            <w:pPr>
              <w:jc w:val="center"/>
              <w:rPr>
                <w:rFonts w:ascii="宋体" w:eastAsia="宋体" w:hAnsi="宋体" w:cs="宋体"/>
                <w:color w:val="000000"/>
                <w:sz w:val="20"/>
                <w:szCs w:val="20"/>
              </w:rPr>
            </w:pPr>
          </w:p>
        </w:tc>
      </w:tr>
      <w:tr w:rsidR="00D62EB9">
        <w:trPr>
          <w:trHeight w:val="686"/>
        </w:trPr>
        <w:tc>
          <w:tcPr>
            <w:tcW w:w="579" w:type="dxa"/>
            <w:tcBorders>
              <w:top w:val="nil"/>
              <w:left w:val="single" w:sz="4" w:space="0" w:color="000000"/>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53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917"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40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406"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1519"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1521"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1525" w:type="dxa"/>
            <w:tcBorders>
              <w:top w:val="nil"/>
              <w:left w:val="nil"/>
              <w:bottom w:val="single" w:sz="4" w:space="0" w:color="000000"/>
              <w:right w:val="single" w:sz="4" w:space="0" w:color="000000"/>
            </w:tcBorders>
            <w:shd w:val="clear" w:color="auto" w:fill="auto"/>
            <w:vAlign w:val="center"/>
          </w:tcPr>
          <w:p w:rsidR="00D62EB9" w:rsidRDefault="00D27420">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r>
      <w:tr w:rsidR="00D62EB9">
        <w:trPr>
          <w:trHeight w:val="697"/>
        </w:trPr>
        <w:tc>
          <w:tcPr>
            <w:tcW w:w="579" w:type="dxa"/>
            <w:tcBorders>
              <w:top w:val="nil"/>
              <w:left w:val="single" w:sz="4" w:space="0" w:color="000000"/>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3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917"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406"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19"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21"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c>
          <w:tcPr>
            <w:tcW w:w="1525" w:type="dxa"/>
            <w:tcBorders>
              <w:top w:val="nil"/>
              <w:left w:val="nil"/>
              <w:bottom w:val="single" w:sz="4" w:space="0" w:color="000000"/>
              <w:right w:val="single" w:sz="4" w:space="0" w:color="000000"/>
            </w:tcBorders>
            <w:shd w:val="clear" w:color="auto" w:fill="auto"/>
            <w:vAlign w:val="center"/>
          </w:tcPr>
          <w:p w:rsidR="00D62EB9" w:rsidRDefault="00D62EB9">
            <w:pPr>
              <w:jc w:val="right"/>
              <w:rPr>
                <w:rFonts w:ascii="宋体" w:eastAsia="宋体" w:hAnsi="宋体" w:cs="宋体"/>
                <w:color w:val="000000"/>
                <w:sz w:val="20"/>
                <w:szCs w:val="20"/>
              </w:rPr>
            </w:pPr>
          </w:p>
        </w:tc>
      </w:tr>
    </w:tbl>
    <w:p w:rsidR="00D62EB9" w:rsidRDefault="00D62EB9">
      <w:pPr>
        <w:spacing w:line="600" w:lineRule="exact"/>
        <w:ind w:firstLineChars="200" w:firstLine="640"/>
        <w:rPr>
          <w:rFonts w:ascii="仿宋_GB2312" w:eastAsia="仿宋_GB2312"/>
          <w:sz w:val="32"/>
          <w:szCs w:val="32"/>
        </w:rPr>
        <w:sectPr w:rsidR="00D62EB9">
          <w:pgSz w:w="16838" w:h="11906" w:orient="landscape"/>
          <w:pgMar w:top="1276" w:right="1440" w:bottom="1416" w:left="1440" w:header="851" w:footer="992" w:gutter="0"/>
          <w:cols w:space="720"/>
          <w:docGrid w:type="lines" w:linePitch="312"/>
        </w:sectPr>
      </w:pPr>
    </w:p>
    <w:p w:rsidR="00D62EB9" w:rsidRDefault="00D27420" w:rsidP="00995B2C">
      <w:pPr>
        <w:pStyle w:val="a6"/>
        <w:shd w:val="clear" w:color="auto" w:fill="FFFFFF"/>
        <w:spacing w:before="0" w:beforeAutospacing="0" w:after="0" w:afterAutospacing="0" w:line="600" w:lineRule="exact"/>
        <w:jc w:val="center"/>
        <w:rPr>
          <w:rFonts w:ascii="黑体" w:eastAsia="黑体" w:hAnsi="黑体"/>
          <w:color w:val="000000"/>
          <w:sz w:val="32"/>
          <w:szCs w:val="32"/>
        </w:rPr>
      </w:pPr>
      <w:r>
        <w:rPr>
          <w:rFonts w:ascii="黑体" w:eastAsia="黑体" w:hAnsi="黑体" w:hint="eastAsia"/>
          <w:color w:val="000000"/>
          <w:sz w:val="32"/>
          <w:szCs w:val="32"/>
        </w:rPr>
        <w:lastRenderedPageBreak/>
        <w:t>第三部分</w:t>
      </w:r>
      <w:r>
        <w:rPr>
          <w:rFonts w:ascii="黑体" w:eastAsia="黑体" w:hAnsi="黑体" w:hint="eastAsia"/>
          <w:color w:val="000000"/>
          <w:sz w:val="32"/>
          <w:szCs w:val="32"/>
        </w:rPr>
        <w:t xml:space="preserve"> 2025</w:t>
      </w:r>
      <w:r>
        <w:rPr>
          <w:rFonts w:ascii="黑体" w:eastAsia="黑体" w:hAnsi="黑体" w:hint="eastAsia"/>
          <w:color w:val="000000"/>
          <w:sz w:val="32"/>
          <w:szCs w:val="32"/>
        </w:rPr>
        <w:t>年度部门决算情况说明</w:t>
      </w:r>
    </w:p>
    <w:p w:rsidR="00D62EB9" w:rsidRDefault="00D62EB9" w:rsidP="00995B2C">
      <w:pPr>
        <w:pStyle w:val="a6"/>
        <w:shd w:val="clear" w:color="auto" w:fill="FFFFFF"/>
        <w:spacing w:before="0" w:beforeAutospacing="0" w:after="0" w:afterAutospacing="0" w:line="600" w:lineRule="exact"/>
        <w:jc w:val="center"/>
        <w:rPr>
          <w:rFonts w:ascii="黑体" w:eastAsia="黑体" w:hAnsi="黑体"/>
          <w:color w:val="000000"/>
          <w:sz w:val="32"/>
          <w:szCs w:val="32"/>
        </w:rPr>
      </w:pPr>
    </w:p>
    <w:p w:rsidR="00D62EB9" w:rsidRDefault="00D27420" w:rsidP="00995B2C">
      <w:pPr>
        <w:pStyle w:val="a6"/>
        <w:shd w:val="clear" w:color="auto" w:fill="FFFFFF"/>
        <w:spacing w:before="0" w:beforeAutospacing="0" w:after="0" w:afterAutospacing="0" w:line="600" w:lineRule="exact"/>
        <w:ind w:firstLine="480"/>
        <w:jc w:val="both"/>
        <w:rPr>
          <w:rFonts w:ascii="黑体" w:eastAsia="黑体" w:hAnsi="黑体"/>
          <w:color w:val="000000"/>
          <w:sz w:val="32"/>
          <w:szCs w:val="32"/>
        </w:rPr>
      </w:pPr>
      <w:r>
        <w:rPr>
          <w:rFonts w:ascii="黑体" w:eastAsia="黑体" w:hAnsi="黑体" w:hint="eastAsia"/>
          <w:color w:val="000000"/>
          <w:sz w:val="32"/>
          <w:szCs w:val="32"/>
        </w:rPr>
        <w:t>一、关于</w:t>
      </w:r>
      <w:r>
        <w:rPr>
          <w:rFonts w:ascii="黑体" w:eastAsia="黑体" w:hAnsi="黑体" w:hint="eastAsia"/>
          <w:color w:val="000000"/>
          <w:sz w:val="32"/>
          <w:szCs w:val="32"/>
        </w:rPr>
        <w:t>2025</w:t>
      </w:r>
      <w:r>
        <w:rPr>
          <w:rFonts w:ascii="黑体" w:eastAsia="黑体" w:hAnsi="黑体" w:hint="eastAsia"/>
          <w:color w:val="000000"/>
          <w:sz w:val="32"/>
          <w:szCs w:val="32"/>
        </w:rPr>
        <w:t>年度部门收入支出决算情况的总体说明</w:t>
      </w:r>
    </w:p>
    <w:p w:rsidR="00D62EB9" w:rsidRDefault="00D27420" w:rsidP="00995B2C">
      <w:pPr>
        <w:pStyle w:val="a6"/>
        <w:spacing w:before="0" w:beforeAutospacing="0" w:after="0" w:afterAutospacing="0" w:line="600" w:lineRule="exact"/>
        <w:ind w:firstLineChars="200" w:firstLine="640"/>
        <w:rPr>
          <w:rFonts w:ascii="仿宋_GB2312" w:eastAsia="仿宋_GB2312" w:hAnsi="仿宋_GB2312"/>
          <w:color w:val="000000"/>
          <w:sz w:val="32"/>
          <w:szCs w:val="32"/>
        </w:rPr>
      </w:pPr>
      <w:r>
        <w:rPr>
          <w:rFonts w:ascii="仿宋_GB2312" w:eastAsia="仿宋_GB2312" w:hAnsi="仿宋_GB2312" w:hint="eastAsia"/>
          <w:color w:val="000000"/>
          <w:sz w:val="32"/>
          <w:szCs w:val="32"/>
        </w:rPr>
        <w:t>2025</w:t>
      </w:r>
      <w:r>
        <w:rPr>
          <w:rFonts w:ascii="仿宋_GB2312" w:eastAsia="仿宋_GB2312" w:hAnsi="仿宋_GB2312" w:hint="eastAsia"/>
          <w:color w:val="000000"/>
          <w:sz w:val="32"/>
          <w:szCs w:val="32"/>
        </w:rPr>
        <w:t>年度总收入</w:t>
      </w:r>
      <w:r>
        <w:rPr>
          <w:rFonts w:ascii="仿宋_GB2312" w:eastAsia="仿宋_GB2312" w:hAnsi="仿宋_GB2312" w:hint="eastAsia"/>
          <w:color w:val="000000"/>
          <w:sz w:val="32"/>
          <w:szCs w:val="32"/>
        </w:rPr>
        <w:t>2,891.46</w:t>
      </w:r>
      <w:r>
        <w:rPr>
          <w:rFonts w:ascii="仿宋_GB2312" w:eastAsia="仿宋_GB2312" w:hAnsi="仿宋_GB2312" w:hint="eastAsia"/>
          <w:color w:val="000000"/>
          <w:sz w:val="32"/>
          <w:szCs w:val="32"/>
        </w:rPr>
        <w:t>万元。其中，本年收入</w:t>
      </w:r>
      <w:r>
        <w:rPr>
          <w:rFonts w:ascii="仿宋_GB2312" w:eastAsia="仿宋_GB2312" w:hAnsi="仿宋_GB2312" w:hint="eastAsia"/>
          <w:color w:val="000000"/>
          <w:sz w:val="32"/>
          <w:szCs w:val="32"/>
        </w:rPr>
        <w:t>2642.43</w:t>
      </w:r>
      <w:r>
        <w:rPr>
          <w:rFonts w:ascii="仿宋_GB2312" w:eastAsia="仿宋_GB2312" w:hAnsi="仿宋_GB2312" w:hint="eastAsia"/>
          <w:color w:val="000000"/>
          <w:sz w:val="32"/>
          <w:szCs w:val="32"/>
        </w:rPr>
        <w:t>万元，</w:t>
      </w:r>
      <w:r>
        <w:rPr>
          <w:rFonts w:ascii="仿宋_GB2312" w:eastAsia="仿宋_GB2312" w:hAnsi="仿宋_GB2312" w:hint="eastAsia"/>
          <w:sz w:val="32"/>
          <w:szCs w:val="32"/>
        </w:rPr>
        <w:t>年初结转</w:t>
      </w:r>
      <w:r>
        <w:rPr>
          <w:rFonts w:ascii="仿宋_GB2312" w:eastAsia="仿宋_GB2312" w:hAnsi="仿宋_GB2312" w:hint="eastAsia"/>
          <w:color w:val="000000"/>
          <w:sz w:val="32"/>
          <w:szCs w:val="32"/>
        </w:rPr>
        <w:t>和结余</w:t>
      </w:r>
      <w:r>
        <w:rPr>
          <w:rFonts w:ascii="仿宋_GB2312" w:eastAsia="仿宋_GB2312" w:hAnsi="仿宋_GB2312" w:hint="eastAsia"/>
          <w:color w:val="000000"/>
          <w:sz w:val="32"/>
          <w:szCs w:val="32"/>
        </w:rPr>
        <w:t>249.03</w:t>
      </w:r>
      <w:r>
        <w:rPr>
          <w:rFonts w:ascii="仿宋_GB2312" w:eastAsia="仿宋_GB2312" w:hAnsi="仿宋_GB2312" w:hint="eastAsia"/>
          <w:color w:val="000000"/>
          <w:sz w:val="32"/>
          <w:szCs w:val="32"/>
        </w:rPr>
        <w:t>万元。具体情况如下：</w:t>
      </w:r>
    </w:p>
    <w:p w:rsidR="00D62EB9" w:rsidRDefault="00D27420" w:rsidP="00995B2C">
      <w:pPr>
        <w:pStyle w:val="a6"/>
        <w:spacing w:before="0" w:beforeAutospacing="0" w:after="0" w:afterAutospacing="0" w:line="600" w:lineRule="exact"/>
        <w:ind w:firstLine="645"/>
        <w:rPr>
          <w:rFonts w:ascii="仿宋_GB2312" w:eastAsia="仿宋_GB2312" w:hAnsi="仿宋_GB2312"/>
          <w:color w:val="000000"/>
          <w:sz w:val="32"/>
          <w:szCs w:val="32"/>
        </w:rPr>
      </w:pPr>
      <w:r>
        <w:rPr>
          <w:rFonts w:ascii="仿宋_GB2312" w:eastAsia="仿宋_GB2312" w:hAnsi="仿宋_GB2312" w:hint="eastAsia"/>
          <w:color w:val="000000"/>
          <w:sz w:val="32"/>
          <w:szCs w:val="32"/>
        </w:rPr>
        <w:t>一般公共预算财政拨款收入</w:t>
      </w:r>
      <w:r>
        <w:rPr>
          <w:rFonts w:ascii="仿宋_GB2312" w:eastAsia="仿宋_GB2312" w:hAnsi="仿宋_GB2312" w:hint="eastAsia"/>
          <w:color w:val="000000"/>
          <w:sz w:val="32"/>
          <w:szCs w:val="32"/>
        </w:rPr>
        <w:t>2,331.38</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80.63%;</w:t>
      </w:r>
      <w:r>
        <w:rPr>
          <w:rFonts w:ascii="仿宋_GB2312" w:eastAsia="仿宋_GB2312" w:hAnsi="仿宋_GB2312" w:hint="eastAsia"/>
          <w:color w:val="000000"/>
          <w:sz w:val="32"/>
          <w:szCs w:val="32"/>
        </w:rPr>
        <w:t>事业收入</w:t>
      </w:r>
      <w:r>
        <w:rPr>
          <w:rFonts w:ascii="仿宋_GB2312" w:eastAsia="仿宋_GB2312" w:hAnsi="仿宋_GB2312" w:hint="eastAsia"/>
          <w:color w:val="000000"/>
          <w:sz w:val="32"/>
          <w:szCs w:val="32"/>
        </w:rPr>
        <w:t>253.00</w:t>
      </w:r>
      <w:r>
        <w:rPr>
          <w:rFonts w:ascii="仿宋_GB2312" w:eastAsia="仿宋_GB2312" w:hAnsi="仿宋_GB2312" w:hint="eastAsia"/>
          <w:color w:val="000000"/>
          <w:sz w:val="32"/>
          <w:szCs w:val="32"/>
        </w:rPr>
        <w:t>万元，</w:t>
      </w:r>
      <w:r>
        <w:rPr>
          <w:rFonts w:ascii="仿宋_GB2312" w:eastAsia="仿宋_GB2312" w:hAnsi="仿宋_GB2312" w:hint="eastAsia"/>
          <w:color w:val="000000"/>
          <w:sz w:val="32"/>
          <w:szCs w:val="32"/>
        </w:rPr>
        <w:t>8.75%;</w:t>
      </w:r>
      <w:r>
        <w:rPr>
          <w:rFonts w:ascii="仿宋_GB2312" w:eastAsia="仿宋_GB2312" w:hAnsi="仿宋_GB2312" w:hint="eastAsia"/>
          <w:color w:val="000000"/>
          <w:sz w:val="32"/>
          <w:szCs w:val="32"/>
        </w:rPr>
        <w:t>其他收入</w:t>
      </w:r>
      <w:r>
        <w:rPr>
          <w:rFonts w:ascii="仿宋_GB2312" w:eastAsia="仿宋_GB2312" w:hAnsi="仿宋_GB2312" w:hint="eastAsia"/>
          <w:color w:val="000000"/>
          <w:sz w:val="32"/>
          <w:szCs w:val="32"/>
        </w:rPr>
        <w:t>58.05</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2.01%;</w:t>
      </w:r>
      <w:r>
        <w:rPr>
          <w:rFonts w:ascii="仿宋_GB2312" w:eastAsia="仿宋_GB2312" w:hAnsi="仿宋_GB2312" w:hint="eastAsia"/>
          <w:color w:val="000000"/>
          <w:sz w:val="32"/>
          <w:szCs w:val="32"/>
        </w:rPr>
        <w:t>年初结转和结余</w:t>
      </w:r>
      <w:r>
        <w:rPr>
          <w:rFonts w:ascii="仿宋_GB2312" w:eastAsia="仿宋_GB2312" w:hAnsi="仿宋_GB2312" w:hint="eastAsia"/>
          <w:color w:val="000000"/>
          <w:sz w:val="32"/>
          <w:szCs w:val="32"/>
        </w:rPr>
        <w:t>249.03</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8.61%</w:t>
      </w:r>
      <w:r>
        <w:rPr>
          <w:rFonts w:ascii="仿宋_GB2312" w:eastAsia="仿宋_GB2312" w:hAnsi="仿宋_GB2312" w:hint="eastAsia"/>
          <w:color w:val="000000"/>
          <w:sz w:val="32"/>
          <w:szCs w:val="32"/>
        </w:rPr>
        <w:t>。</w:t>
      </w:r>
    </w:p>
    <w:p w:rsidR="00D62EB9" w:rsidRDefault="00D27420">
      <w:pPr>
        <w:pStyle w:val="a6"/>
        <w:ind w:firstLine="645"/>
        <w:rPr>
          <w:rFonts w:ascii="仿宋_GB2312" w:eastAsia="仿宋_GB2312" w:hAnsi="仿宋_GB2312"/>
          <w:color w:val="000000"/>
          <w:sz w:val="32"/>
          <w:szCs w:val="32"/>
        </w:rPr>
      </w:pPr>
      <w:r>
        <w:rPr>
          <w:noProof/>
        </w:rPr>
        <w:drawing>
          <wp:inline distT="0" distB="0" distL="0" distR="0">
            <wp:extent cx="5311140" cy="3437255"/>
            <wp:effectExtent l="4445" t="4445" r="18415" b="63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62EB9" w:rsidRDefault="00D62EB9" w:rsidP="00995B2C">
      <w:pPr>
        <w:pStyle w:val="a6"/>
        <w:spacing w:line="600" w:lineRule="exact"/>
        <w:ind w:firstLine="645"/>
        <w:rPr>
          <w:rFonts w:ascii="仿宋_GB2312" w:eastAsia="仿宋_GB2312" w:hAnsi="仿宋_GB2312"/>
          <w:color w:val="000000"/>
          <w:sz w:val="32"/>
          <w:szCs w:val="32"/>
        </w:rPr>
      </w:pPr>
    </w:p>
    <w:p w:rsidR="00D62EB9" w:rsidRDefault="00D27420" w:rsidP="00995B2C">
      <w:pPr>
        <w:pStyle w:val="a6"/>
        <w:spacing w:line="600" w:lineRule="exact"/>
        <w:ind w:firstLineChars="300" w:firstLine="960"/>
        <w:rPr>
          <w:rFonts w:ascii="仿宋_GB2312" w:eastAsia="仿宋_GB2312" w:hAnsi="仿宋_GB2312"/>
          <w:color w:val="000000"/>
          <w:sz w:val="32"/>
          <w:szCs w:val="32"/>
        </w:rPr>
      </w:pPr>
      <w:r>
        <w:rPr>
          <w:rFonts w:ascii="仿宋_GB2312" w:eastAsia="仿宋_GB2312" w:hAnsi="仿宋_GB2312" w:hint="eastAsia"/>
          <w:color w:val="000000"/>
          <w:sz w:val="32"/>
          <w:szCs w:val="32"/>
        </w:rPr>
        <w:t>2025</w:t>
      </w:r>
      <w:r>
        <w:rPr>
          <w:rFonts w:ascii="仿宋_GB2312" w:eastAsia="仿宋_GB2312" w:hAnsi="仿宋_GB2312" w:hint="eastAsia"/>
          <w:color w:val="000000"/>
          <w:sz w:val="32"/>
          <w:szCs w:val="32"/>
        </w:rPr>
        <w:t>年度总支出</w:t>
      </w:r>
      <w:r>
        <w:rPr>
          <w:rFonts w:ascii="仿宋_GB2312" w:eastAsia="仿宋_GB2312" w:hAnsi="仿宋_GB2312" w:hint="eastAsia"/>
          <w:color w:val="000000"/>
          <w:sz w:val="32"/>
          <w:szCs w:val="32"/>
        </w:rPr>
        <w:t>2,891.46</w:t>
      </w:r>
      <w:r>
        <w:rPr>
          <w:rFonts w:ascii="仿宋_GB2312" w:eastAsia="仿宋_GB2312" w:hAnsi="仿宋_GB2312" w:hint="eastAsia"/>
          <w:color w:val="000000"/>
          <w:sz w:val="32"/>
          <w:szCs w:val="32"/>
        </w:rPr>
        <w:t>万元。其中，本年支出</w:t>
      </w:r>
      <w:r>
        <w:rPr>
          <w:rFonts w:ascii="仿宋_GB2312" w:eastAsia="仿宋_GB2312" w:hAnsi="仿宋_GB2312" w:hint="eastAsia"/>
          <w:color w:val="000000"/>
          <w:sz w:val="32"/>
          <w:szCs w:val="32"/>
        </w:rPr>
        <w:t>2,390.53</w:t>
      </w:r>
      <w:r>
        <w:rPr>
          <w:rFonts w:ascii="仿宋_GB2312" w:eastAsia="仿宋_GB2312" w:hAnsi="仿宋_GB2312" w:hint="eastAsia"/>
          <w:color w:val="000000"/>
          <w:sz w:val="32"/>
          <w:szCs w:val="32"/>
        </w:rPr>
        <w:t>万元，结余分配</w:t>
      </w:r>
      <w:r>
        <w:rPr>
          <w:rFonts w:ascii="仿宋_GB2312" w:eastAsia="仿宋_GB2312" w:hAnsi="仿宋_GB2312" w:hint="eastAsia"/>
          <w:color w:val="000000"/>
          <w:sz w:val="32"/>
          <w:szCs w:val="32"/>
        </w:rPr>
        <w:t>118.68</w:t>
      </w:r>
      <w:r>
        <w:rPr>
          <w:rFonts w:ascii="仿宋_GB2312" w:eastAsia="仿宋_GB2312" w:hAnsi="仿宋_GB2312" w:hint="eastAsia"/>
          <w:color w:val="000000"/>
          <w:sz w:val="32"/>
          <w:szCs w:val="32"/>
        </w:rPr>
        <w:t>万元，年末结转结余</w:t>
      </w:r>
      <w:r>
        <w:rPr>
          <w:rFonts w:ascii="仿宋_GB2312" w:eastAsia="仿宋_GB2312" w:hAnsi="仿宋_GB2312" w:hint="eastAsia"/>
          <w:color w:val="000000"/>
          <w:sz w:val="32"/>
          <w:szCs w:val="32"/>
        </w:rPr>
        <w:t>382.25</w:t>
      </w:r>
      <w:r>
        <w:rPr>
          <w:rFonts w:ascii="仿宋_GB2312" w:eastAsia="仿宋_GB2312" w:hAnsi="仿宋_GB2312" w:hint="eastAsia"/>
          <w:color w:val="000000"/>
          <w:sz w:val="32"/>
          <w:szCs w:val="32"/>
        </w:rPr>
        <w:t>万元。具体情况如下：</w:t>
      </w:r>
    </w:p>
    <w:p w:rsidR="00D62EB9" w:rsidRDefault="00D27420">
      <w:pPr>
        <w:pStyle w:val="a6"/>
        <w:rPr>
          <w:rFonts w:ascii="仿宋_GB2312" w:eastAsia="仿宋_GB2312" w:hAnsi="仿宋_GB2312"/>
          <w:color w:val="000000"/>
          <w:sz w:val="32"/>
          <w:szCs w:val="32"/>
        </w:rPr>
      </w:pPr>
      <w:r>
        <w:rPr>
          <w:rFonts w:ascii="仿宋_GB2312" w:eastAsia="仿宋_GB2312" w:hAnsi="仿宋_GB2312" w:hint="eastAsia"/>
          <w:color w:val="000000"/>
          <w:sz w:val="32"/>
          <w:szCs w:val="32"/>
        </w:rPr>
        <w:lastRenderedPageBreak/>
        <w:t xml:space="preserve">　　社会保障和就业支出</w:t>
      </w:r>
      <w:r>
        <w:rPr>
          <w:rFonts w:ascii="仿宋_GB2312" w:eastAsia="仿宋_GB2312" w:hAnsi="仿宋_GB2312" w:hint="eastAsia"/>
          <w:color w:val="000000"/>
          <w:sz w:val="32"/>
          <w:szCs w:val="32"/>
        </w:rPr>
        <w:t>96.94</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3.35%</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卫生健康支出</w:t>
      </w:r>
      <w:r>
        <w:rPr>
          <w:rFonts w:ascii="仿宋_GB2312" w:eastAsia="仿宋_GB2312" w:hAnsi="仿宋_GB2312" w:hint="eastAsia"/>
          <w:color w:val="000000"/>
          <w:sz w:val="32"/>
          <w:szCs w:val="32"/>
        </w:rPr>
        <w:t>2,191.58</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75.79%;</w:t>
      </w:r>
      <w:r>
        <w:rPr>
          <w:rFonts w:ascii="仿宋_GB2312" w:eastAsia="仿宋_GB2312" w:hAnsi="仿宋_GB2312" w:hint="eastAsia"/>
          <w:color w:val="000000"/>
          <w:sz w:val="32"/>
          <w:szCs w:val="32"/>
        </w:rPr>
        <w:t>住房保障支出</w:t>
      </w:r>
      <w:r>
        <w:rPr>
          <w:rFonts w:ascii="仿宋_GB2312" w:eastAsia="仿宋_GB2312" w:hAnsi="仿宋_GB2312" w:hint="eastAsia"/>
          <w:color w:val="000000"/>
          <w:sz w:val="32"/>
          <w:szCs w:val="32"/>
        </w:rPr>
        <w:t>102.01</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3.53%;</w:t>
      </w:r>
      <w:r>
        <w:rPr>
          <w:rFonts w:ascii="仿宋_GB2312" w:eastAsia="仿宋_GB2312" w:hAnsi="仿宋_GB2312" w:hint="eastAsia"/>
          <w:color w:val="000000"/>
          <w:sz w:val="32"/>
          <w:szCs w:val="32"/>
        </w:rPr>
        <w:t>结余分配</w:t>
      </w:r>
      <w:r>
        <w:rPr>
          <w:rFonts w:ascii="仿宋_GB2312" w:eastAsia="仿宋_GB2312" w:hAnsi="仿宋_GB2312" w:hint="eastAsia"/>
          <w:color w:val="000000"/>
          <w:sz w:val="32"/>
          <w:szCs w:val="32"/>
        </w:rPr>
        <w:t>118.68</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4.11%;</w:t>
      </w:r>
      <w:r>
        <w:rPr>
          <w:rFonts w:ascii="仿宋_GB2312" w:eastAsia="仿宋_GB2312" w:hAnsi="仿宋_GB2312" w:hint="eastAsia"/>
          <w:color w:val="000000"/>
          <w:sz w:val="32"/>
          <w:szCs w:val="32"/>
        </w:rPr>
        <w:t>年末结转结余</w:t>
      </w:r>
      <w:r>
        <w:rPr>
          <w:rFonts w:ascii="仿宋_GB2312" w:eastAsia="仿宋_GB2312" w:hAnsi="仿宋_GB2312" w:hint="eastAsia"/>
          <w:color w:val="000000"/>
          <w:sz w:val="32"/>
          <w:szCs w:val="32"/>
        </w:rPr>
        <w:t>382.25</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13.22%</w:t>
      </w:r>
      <w:r>
        <w:rPr>
          <w:rFonts w:ascii="仿宋_GB2312" w:eastAsia="仿宋_GB2312" w:hAnsi="仿宋_GB2312" w:hint="eastAsia"/>
          <w:color w:val="000000"/>
          <w:sz w:val="32"/>
          <w:szCs w:val="32"/>
        </w:rPr>
        <w:t>。</w:t>
      </w:r>
    </w:p>
    <w:p w:rsidR="00D62EB9" w:rsidRDefault="00D27420">
      <w:pPr>
        <w:pStyle w:val="a6"/>
        <w:ind w:firstLine="645"/>
        <w:jc w:val="center"/>
        <w:rPr>
          <w:rFonts w:ascii="仿宋_GB2312" w:eastAsia="仿宋_GB2312" w:hAnsi="仿宋_GB2312"/>
          <w:color w:val="000000"/>
          <w:sz w:val="32"/>
          <w:szCs w:val="32"/>
        </w:rPr>
      </w:pPr>
      <w:r>
        <w:rPr>
          <w:noProof/>
        </w:rPr>
        <w:drawing>
          <wp:inline distT="0" distB="0" distL="114300" distR="114300">
            <wp:extent cx="5104765" cy="3484880"/>
            <wp:effectExtent l="0" t="0" r="19685" b="2032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62EB9" w:rsidRDefault="00D27420" w:rsidP="00995B2C">
      <w:pPr>
        <w:pStyle w:val="a6"/>
        <w:shd w:val="clear" w:color="auto" w:fill="FFFFFF"/>
        <w:spacing w:before="0" w:beforeAutospacing="0" w:after="0" w:afterAutospacing="0" w:line="600" w:lineRule="exact"/>
        <w:ind w:leftChars="152" w:left="319" w:firstLineChars="128" w:firstLine="410"/>
        <w:jc w:val="both"/>
        <w:rPr>
          <w:rFonts w:ascii="黑体" w:eastAsia="黑体" w:hAnsi="黑体"/>
          <w:color w:val="000000"/>
          <w:sz w:val="32"/>
          <w:szCs w:val="32"/>
        </w:rPr>
      </w:pPr>
      <w:r>
        <w:rPr>
          <w:rFonts w:ascii="黑体" w:eastAsia="黑体" w:hAnsi="黑体" w:hint="eastAsia"/>
          <w:color w:val="000000"/>
          <w:sz w:val="32"/>
          <w:szCs w:val="32"/>
        </w:rPr>
        <w:t>二、关于</w:t>
      </w:r>
      <w:r>
        <w:rPr>
          <w:rFonts w:ascii="黑体" w:eastAsia="黑体" w:hAnsi="黑体" w:hint="eastAsia"/>
          <w:color w:val="000000"/>
          <w:sz w:val="32"/>
          <w:szCs w:val="32"/>
        </w:rPr>
        <w:t>2025</w:t>
      </w:r>
      <w:r>
        <w:rPr>
          <w:rFonts w:ascii="黑体" w:eastAsia="黑体" w:hAnsi="黑体" w:hint="eastAsia"/>
          <w:color w:val="000000"/>
          <w:sz w:val="32"/>
          <w:szCs w:val="32"/>
        </w:rPr>
        <w:t>年度部门一般公共预算财政拨款收支说明</w:t>
      </w:r>
      <w:r>
        <w:rPr>
          <w:rFonts w:ascii="黑体" w:eastAsia="黑体" w:hAnsi="黑体" w:hint="eastAsia"/>
          <w:color w:val="000000"/>
          <w:sz w:val="32"/>
          <w:szCs w:val="32"/>
        </w:rPr>
        <w:t xml:space="preserve"> </w:t>
      </w:r>
    </w:p>
    <w:p w:rsidR="00D62EB9" w:rsidRDefault="00D27420">
      <w:pPr>
        <w:pStyle w:val="a6"/>
        <w:shd w:val="clear" w:color="auto" w:fill="FFFFFF"/>
        <w:spacing w:before="0" w:beforeAutospacing="0" w:after="0" w:afterAutospacing="0" w:line="600" w:lineRule="exact"/>
        <w:ind w:leftChars="152" w:left="319" w:firstLineChars="326" w:firstLine="1043"/>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2025</w:t>
      </w:r>
      <w:r>
        <w:rPr>
          <w:rFonts w:ascii="仿宋_GB2312" w:eastAsia="仿宋_GB2312" w:hAnsi="仿宋_GB2312" w:hint="eastAsia"/>
          <w:color w:val="000000"/>
          <w:sz w:val="32"/>
          <w:szCs w:val="32"/>
        </w:rPr>
        <w:t>年度一般公共预算财政拨款年初结转和结余</w:t>
      </w:r>
      <w:r>
        <w:rPr>
          <w:rFonts w:ascii="仿宋_GB2312" w:eastAsia="仿宋_GB2312" w:hAnsi="仿宋_GB2312" w:hint="eastAsia"/>
          <w:color w:val="000000"/>
          <w:sz w:val="32"/>
          <w:szCs w:val="32"/>
        </w:rPr>
        <w:t>46.94</w:t>
      </w:r>
      <w:r>
        <w:rPr>
          <w:rFonts w:ascii="仿宋_GB2312" w:eastAsia="仿宋_GB2312" w:hAnsi="仿宋_GB2312" w:hint="eastAsia"/>
          <w:color w:val="000000"/>
          <w:sz w:val="32"/>
          <w:szCs w:val="32"/>
        </w:rPr>
        <w:t>万元，本年收入</w:t>
      </w:r>
      <w:r>
        <w:rPr>
          <w:rFonts w:ascii="仿宋_GB2312" w:eastAsia="仿宋_GB2312" w:hAnsi="仿宋_GB2312" w:hint="eastAsia"/>
          <w:color w:val="000000"/>
          <w:sz w:val="32"/>
          <w:szCs w:val="32"/>
        </w:rPr>
        <w:t>2331.38</w:t>
      </w:r>
      <w:r>
        <w:rPr>
          <w:rFonts w:ascii="仿宋_GB2312" w:eastAsia="仿宋_GB2312" w:hAnsi="仿宋_GB2312" w:hint="eastAsia"/>
          <w:color w:val="000000"/>
          <w:sz w:val="32"/>
          <w:szCs w:val="32"/>
        </w:rPr>
        <w:t>万元，本年支出</w:t>
      </w:r>
      <w:r>
        <w:rPr>
          <w:rFonts w:ascii="仿宋_GB2312" w:eastAsia="仿宋_GB2312" w:hAnsi="仿宋_GB2312" w:hint="eastAsia"/>
          <w:color w:val="000000"/>
          <w:sz w:val="32"/>
          <w:szCs w:val="32"/>
        </w:rPr>
        <w:t>2,065.78</w:t>
      </w:r>
      <w:r>
        <w:rPr>
          <w:rFonts w:ascii="仿宋_GB2312" w:eastAsia="仿宋_GB2312" w:hAnsi="仿宋_GB2312" w:hint="eastAsia"/>
          <w:color w:val="000000"/>
          <w:sz w:val="32"/>
          <w:szCs w:val="32"/>
        </w:rPr>
        <w:t>万元，年末结转和结余</w:t>
      </w:r>
      <w:r>
        <w:rPr>
          <w:rFonts w:ascii="仿宋_GB2312" w:eastAsia="仿宋_GB2312" w:hAnsi="仿宋_GB2312" w:hint="eastAsia"/>
          <w:color w:val="000000"/>
          <w:sz w:val="32"/>
          <w:szCs w:val="32"/>
        </w:rPr>
        <w:t>312.54</w:t>
      </w:r>
      <w:r>
        <w:rPr>
          <w:rFonts w:ascii="仿宋_GB2312" w:eastAsia="仿宋_GB2312" w:hAnsi="仿宋_GB2312" w:hint="eastAsia"/>
          <w:color w:val="000000"/>
          <w:sz w:val="32"/>
          <w:szCs w:val="32"/>
        </w:rPr>
        <w:t>万元，本年收入全部为一般公共预算财政拨款。本年支出包括社会保障和就业支出</w:t>
      </w:r>
      <w:r>
        <w:rPr>
          <w:rFonts w:ascii="仿宋_GB2312" w:eastAsia="仿宋_GB2312" w:hAnsi="仿宋_GB2312" w:hint="eastAsia"/>
          <w:color w:val="000000"/>
          <w:sz w:val="32"/>
          <w:szCs w:val="32"/>
        </w:rPr>
        <w:t>96.94</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4.69%;</w:t>
      </w:r>
      <w:r>
        <w:rPr>
          <w:rFonts w:ascii="仿宋_GB2312" w:eastAsia="仿宋_GB2312" w:hAnsi="仿宋_GB2312" w:hint="eastAsia"/>
          <w:color w:val="000000"/>
          <w:sz w:val="32"/>
          <w:szCs w:val="32"/>
        </w:rPr>
        <w:t>卫生健康支出</w:t>
      </w:r>
      <w:r>
        <w:rPr>
          <w:rFonts w:ascii="仿宋_GB2312" w:eastAsia="仿宋_GB2312" w:hAnsi="仿宋_GB2312" w:hint="eastAsia"/>
          <w:color w:val="000000"/>
          <w:sz w:val="32"/>
          <w:szCs w:val="32"/>
        </w:rPr>
        <w:t>1,88</w:t>
      </w:r>
      <w:r>
        <w:rPr>
          <w:rFonts w:ascii="仿宋_GB2312" w:eastAsia="仿宋_GB2312" w:hAnsi="仿宋_GB2312" w:hint="eastAsia"/>
          <w:color w:val="000000"/>
          <w:sz w:val="32"/>
          <w:szCs w:val="32"/>
        </w:rPr>
        <w:t>3.89</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91.20%;</w:t>
      </w:r>
      <w:r>
        <w:rPr>
          <w:rFonts w:ascii="仿宋_GB2312" w:eastAsia="仿宋_GB2312" w:hAnsi="仿宋_GB2312" w:hint="eastAsia"/>
          <w:color w:val="000000"/>
          <w:sz w:val="32"/>
          <w:szCs w:val="32"/>
        </w:rPr>
        <w:t>住房保障支出</w:t>
      </w:r>
      <w:r>
        <w:rPr>
          <w:rFonts w:ascii="仿宋_GB2312" w:eastAsia="仿宋_GB2312" w:hAnsi="仿宋_GB2312" w:hint="eastAsia"/>
          <w:color w:val="000000"/>
          <w:sz w:val="32"/>
          <w:szCs w:val="32"/>
        </w:rPr>
        <w:t>84.95</w:t>
      </w:r>
      <w:r>
        <w:rPr>
          <w:rFonts w:ascii="仿宋_GB2312" w:eastAsia="仿宋_GB2312" w:hAnsi="仿宋_GB2312" w:hint="eastAsia"/>
          <w:color w:val="000000"/>
          <w:sz w:val="32"/>
          <w:szCs w:val="32"/>
        </w:rPr>
        <w:t>万元，占</w:t>
      </w:r>
      <w:r>
        <w:rPr>
          <w:rFonts w:ascii="仿宋_GB2312" w:eastAsia="仿宋_GB2312" w:hAnsi="仿宋_GB2312" w:hint="eastAsia"/>
          <w:color w:val="000000"/>
          <w:sz w:val="32"/>
          <w:szCs w:val="32"/>
        </w:rPr>
        <w:t>4.11%;</w:t>
      </w:r>
      <w:r>
        <w:rPr>
          <w:rFonts w:ascii="仿宋_GB2312" w:eastAsia="仿宋_GB2312" w:hAnsi="仿宋_GB2312" w:hint="eastAsia"/>
          <w:color w:val="000000"/>
          <w:sz w:val="32"/>
          <w:szCs w:val="32"/>
        </w:rPr>
        <w:t>年末结转结余</w:t>
      </w:r>
      <w:r>
        <w:rPr>
          <w:rFonts w:ascii="仿宋_GB2312" w:eastAsia="仿宋_GB2312" w:hAnsi="仿宋_GB2312" w:hint="eastAsia"/>
          <w:color w:val="000000"/>
          <w:sz w:val="32"/>
          <w:szCs w:val="32"/>
        </w:rPr>
        <w:t>312.54</w:t>
      </w:r>
      <w:r>
        <w:rPr>
          <w:rFonts w:ascii="仿宋_GB2312" w:eastAsia="仿宋_GB2312" w:hAnsi="仿宋_GB2312" w:hint="eastAsia"/>
          <w:color w:val="000000"/>
          <w:sz w:val="32"/>
          <w:szCs w:val="32"/>
        </w:rPr>
        <w:t>万元。</w:t>
      </w:r>
    </w:p>
    <w:p w:rsidR="00D62EB9" w:rsidRDefault="00D27420">
      <w:pPr>
        <w:pStyle w:val="a6"/>
        <w:ind w:firstLineChars="300" w:firstLine="960"/>
        <w:rPr>
          <w:rFonts w:ascii="黑体" w:eastAsia="黑体" w:cs="黑体"/>
          <w:color w:val="000000"/>
          <w:sz w:val="31"/>
          <w:szCs w:val="31"/>
        </w:rPr>
      </w:pPr>
      <w:bookmarkStart w:id="2" w:name="OLE_LINK7"/>
      <w:bookmarkStart w:id="3" w:name="OLE_LINK6"/>
      <w:r>
        <w:rPr>
          <w:rFonts w:ascii="黑体" w:eastAsia="黑体" w:hAnsi="黑体"/>
          <w:color w:val="000000"/>
          <w:sz w:val="32"/>
          <w:szCs w:val="32"/>
        </w:rPr>
        <w:t>三、</w:t>
      </w:r>
      <w:bookmarkEnd w:id="2"/>
      <w:bookmarkEnd w:id="3"/>
      <w:r>
        <w:rPr>
          <w:rFonts w:ascii="黑体" w:eastAsia="黑体" w:cs="黑体"/>
          <w:color w:val="000000"/>
          <w:sz w:val="31"/>
          <w:szCs w:val="31"/>
        </w:rPr>
        <w:t>关于</w:t>
      </w:r>
      <w:r>
        <w:rPr>
          <w:rFonts w:ascii="黑体" w:eastAsia="黑体" w:cs="黑体"/>
          <w:color w:val="000000"/>
          <w:sz w:val="31"/>
          <w:szCs w:val="31"/>
        </w:rPr>
        <w:t>202</w:t>
      </w:r>
      <w:r>
        <w:rPr>
          <w:rFonts w:ascii="黑体" w:eastAsia="黑体" w:cs="黑体" w:hint="eastAsia"/>
          <w:color w:val="000000"/>
          <w:sz w:val="31"/>
          <w:szCs w:val="31"/>
        </w:rPr>
        <w:t>5</w:t>
      </w:r>
      <w:r>
        <w:rPr>
          <w:rFonts w:ascii="黑体" w:eastAsia="黑体" w:cs="黑体"/>
          <w:color w:val="000000"/>
          <w:sz w:val="31"/>
          <w:szCs w:val="31"/>
        </w:rPr>
        <w:t>年度一般公共预算财政拨款支出说明</w:t>
      </w:r>
    </w:p>
    <w:p w:rsidR="00D62EB9" w:rsidRDefault="00D27420">
      <w:pPr>
        <w:pStyle w:val="a6"/>
        <w:shd w:val="clear" w:color="auto" w:fill="FFFFFF"/>
        <w:spacing w:before="0" w:beforeAutospacing="0" w:after="0" w:afterAutospacing="0" w:line="600" w:lineRule="exact"/>
        <w:ind w:firstLineChars="300" w:firstLine="96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lastRenderedPageBreak/>
        <w:t>2025</w:t>
      </w:r>
      <w:r>
        <w:rPr>
          <w:rFonts w:ascii="仿宋_GB2312" w:eastAsia="仿宋_GB2312" w:hAnsi="仿宋_GB2312" w:hint="eastAsia"/>
          <w:color w:val="000000"/>
          <w:sz w:val="32"/>
          <w:szCs w:val="32"/>
        </w:rPr>
        <w:t>年度一般公共预算财政拨款支出</w:t>
      </w:r>
      <w:r>
        <w:rPr>
          <w:rFonts w:ascii="仿宋_GB2312" w:eastAsia="仿宋_GB2312" w:hAnsi="仿宋_GB2312" w:hint="eastAsia"/>
          <w:color w:val="000000"/>
          <w:sz w:val="32"/>
          <w:szCs w:val="32"/>
        </w:rPr>
        <w:t>2,065.78</w:t>
      </w:r>
      <w:r>
        <w:rPr>
          <w:rFonts w:ascii="仿宋_GB2312" w:eastAsia="仿宋_GB2312" w:hAnsi="仿宋_GB2312" w:hint="eastAsia"/>
          <w:color w:val="000000"/>
          <w:sz w:val="32"/>
          <w:szCs w:val="32"/>
        </w:rPr>
        <w:t>万元。具体情况如下：</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（一）卫生健康支出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中医药事务</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事业运行</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 xml:space="preserve">458.14 </w:t>
      </w:r>
      <w:r>
        <w:rPr>
          <w:rFonts w:ascii="仿宋_GB2312" w:eastAsia="仿宋_GB2312" w:hAnsi="仿宋_GB2312" w:hint="eastAsia"/>
          <w:color w:val="000000"/>
          <w:sz w:val="32"/>
          <w:szCs w:val="32"/>
        </w:rPr>
        <w:t>万元。</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（二）卫生健康支出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中医药事务</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其他中医药事务支出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1,425.75</w:t>
      </w:r>
      <w:r>
        <w:rPr>
          <w:rFonts w:ascii="仿宋_GB2312" w:eastAsia="仿宋_GB2312" w:hAnsi="仿宋_GB2312" w:hint="eastAsia"/>
          <w:color w:val="000000"/>
          <w:sz w:val="32"/>
          <w:szCs w:val="32"/>
        </w:rPr>
        <w:t>万元。</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（三）社会保障和就业支出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行政事业单位养老支出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机关事业单位基本养老保险缴费支出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 xml:space="preserve">64.63 </w:t>
      </w:r>
      <w:r>
        <w:rPr>
          <w:rFonts w:ascii="仿宋_GB2312" w:eastAsia="仿宋_GB2312" w:hAnsi="仿宋_GB2312" w:hint="eastAsia"/>
          <w:color w:val="000000"/>
          <w:sz w:val="32"/>
          <w:szCs w:val="32"/>
        </w:rPr>
        <w:t>万元。</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（四）社会保障和就业支出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行政事业单位养老支出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机关事业单位职业年金缴费支出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32.31</w:t>
      </w:r>
      <w:r>
        <w:rPr>
          <w:rFonts w:ascii="仿宋_GB2312" w:eastAsia="仿宋_GB2312" w:hAnsi="仿宋_GB2312" w:hint="eastAsia"/>
          <w:color w:val="000000"/>
          <w:sz w:val="32"/>
          <w:szCs w:val="32"/>
        </w:rPr>
        <w:t>万元。</w:t>
      </w:r>
      <w:r>
        <w:rPr>
          <w:rFonts w:ascii="仿宋_GB2312" w:eastAsia="仿宋_GB2312" w:hAnsi="仿宋_GB2312" w:hint="eastAsia"/>
          <w:color w:val="000000"/>
          <w:sz w:val="32"/>
          <w:szCs w:val="32"/>
        </w:rPr>
        <w:t xml:space="preserve">      </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（五）住房保障支出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住房改革支出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住房公积金</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47.55</w:t>
      </w:r>
      <w:r>
        <w:rPr>
          <w:rFonts w:ascii="仿宋_GB2312" w:eastAsia="仿宋_GB2312" w:hAnsi="仿宋_GB2312" w:hint="eastAsia"/>
          <w:color w:val="000000"/>
          <w:sz w:val="32"/>
          <w:szCs w:val="32"/>
        </w:rPr>
        <w:t>万元。</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（六）住房保障支出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住房改革支出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提租补贴</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3.10</w:t>
      </w:r>
      <w:r>
        <w:rPr>
          <w:rFonts w:ascii="仿宋_GB2312" w:eastAsia="仿宋_GB2312" w:hAnsi="仿宋_GB2312" w:hint="eastAsia"/>
          <w:color w:val="000000"/>
          <w:sz w:val="32"/>
          <w:szCs w:val="32"/>
        </w:rPr>
        <w:t>万元。</w:t>
      </w:r>
    </w:p>
    <w:p w:rsidR="00D62EB9" w:rsidRDefault="00D27420">
      <w:pPr>
        <w:pStyle w:val="a6"/>
        <w:shd w:val="clear" w:color="auto" w:fill="FFFFFF"/>
        <w:spacing w:before="0" w:beforeAutospacing="0" w:after="0" w:afterAutospacing="0" w:line="600" w:lineRule="exact"/>
        <w:ind w:firstLineChars="200" w:firstLine="640"/>
        <w:jc w:val="both"/>
        <w:rPr>
          <w:rFonts w:ascii="仿宋_GB2312" w:eastAsia="仿宋_GB2312" w:hAnsi="仿宋_GB2312"/>
          <w:color w:val="000000"/>
          <w:sz w:val="32"/>
          <w:szCs w:val="32"/>
        </w:rPr>
      </w:pPr>
      <w:r>
        <w:rPr>
          <w:rFonts w:ascii="仿宋_GB2312" w:eastAsia="仿宋_GB2312" w:hAnsi="仿宋_GB2312" w:hint="eastAsia"/>
          <w:color w:val="000000"/>
          <w:sz w:val="32"/>
          <w:szCs w:val="32"/>
        </w:rPr>
        <w:t>（七）住房保障支出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类</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住房改革支出</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款</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购房补贴</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项</w:t>
      </w:r>
      <w:r>
        <w:rPr>
          <w:rFonts w:ascii="仿宋_GB2312" w:eastAsia="仿宋_GB2312" w:hAnsi="仿宋_GB2312" w:hint="eastAsia"/>
          <w:color w:val="000000"/>
          <w:sz w:val="32"/>
          <w:szCs w:val="32"/>
        </w:rPr>
        <w:t>)</w:t>
      </w:r>
      <w:r>
        <w:rPr>
          <w:rFonts w:ascii="仿宋_GB2312" w:eastAsia="仿宋_GB2312" w:hAnsi="仿宋_GB2312" w:hint="eastAsia"/>
          <w:color w:val="000000"/>
          <w:sz w:val="32"/>
          <w:szCs w:val="32"/>
        </w:rPr>
        <w:t>支出</w:t>
      </w:r>
      <w:r>
        <w:rPr>
          <w:rFonts w:ascii="仿宋_GB2312" w:eastAsia="仿宋_GB2312" w:hAnsi="仿宋_GB2312" w:hint="eastAsia"/>
          <w:color w:val="000000"/>
          <w:sz w:val="32"/>
          <w:szCs w:val="32"/>
        </w:rPr>
        <w:t xml:space="preserve">34.30 </w:t>
      </w:r>
      <w:r>
        <w:rPr>
          <w:rFonts w:ascii="仿宋_GB2312" w:eastAsia="仿宋_GB2312" w:hAnsi="仿宋_GB2312" w:hint="eastAsia"/>
          <w:color w:val="000000"/>
          <w:sz w:val="32"/>
          <w:szCs w:val="32"/>
        </w:rPr>
        <w:t>万元。</w:t>
      </w:r>
    </w:p>
    <w:p w:rsidR="00D62EB9" w:rsidRDefault="00D27420">
      <w:pPr>
        <w:pStyle w:val="a6"/>
        <w:rPr>
          <w:rFonts w:ascii="fangsong_GB2312" w:hAnsi="fangsong_GB2312" w:hint="eastAsia"/>
          <w:color w:val="000000"/>
          <w:sz w:val="32"/>
          <w:szCs w:val="32"/>
        </w:rPr>
      </w:pPr>
      <w:r>
        <w:rPr>
          <w:rFonts w:ascii="fangsong_GB2312" w:hAnsi="fangsong_GB2312"/>
          <w:color w:val="000000"/>
          <w:sz w:val="32"/>
          <w:szCs w:val="32"/>
        </w:rPr>
        <w:t xml:space="preserve">　　</w:t>
      </w:r>
      <w:r>
        <w:rPr>
          <w:rFonts w:ascii="黑体" w:eastAsia="黑体" w:hAnsi="黑体" w:hint="eastAsia"/>
          <w:color w:val="000000"/>
          <w:sz w:val="32"/>
          <w:szCs w:val="32"/>
        </w:rPr>
        <w:t>四、关于</w:t>
      </w:r>
      <w:r>
        <w:rPr>
          <w:rFonts w:ascii="黑体" w:eastAsia="黑体" w:hAnsi="黑体" w:hint="eastAsia"/>
          <w:color w:val="000000"/>
          <w:sz w:val="32"/>
          <w:szCs w:val="32"/>
        </w:rPr>
        <w:t>2025</w:t>
      </w:r>
      <w:r>
        <w:rPr>
          <w:rFonts w:ascii="黑体" w:eastAsia="黑体" w:hAnsi="黑体" w:hint="eastAsia"/>
          <w:color w:val="000000"/>
          <w:sz w:val="32"/>
          <w:szCs w:val="32"/>
        </w:rPr>
        <w:t>年度一般公共预算基本支出决算说明</w:t>
      </w:r>
    </w:p>
    <w:p w:rsidR="00D62EB9" w:rsidRDefault="00D27420">
      <w:pPr>
        <w:pStyle w:val="a6"/>
        <w:ind w:firstLine="640"/>
        <w:rPr>
          <w:rFonts w:ascii="仿宋_GB2312" w:eastAsia="仿宋_GB2312" w:hAnsi="微软雅黑"/>
          <w:color w:val="000000"/>
          <w:sz w:val="32"/>
          <w:szCs w:val="32"/>
        </w:rPr>
      </w:pPr>
      <w:r>
        <w:rPr>
          <w:rFonts w:ascii="仿宋_GB2312" w:eastAsia="仿宋_GB2312" w:hAnsi="微软雅黑" w:hint="eastAsia"/>
          <w:color w:val="000000"/>
          <w:sz w:val="32"/>
          <w:szCs w:val="32"/>
        </w:rPr>
        <w:t>2025</w:t>
      </w:r>
      <w:r>
        <w:rPr>
          <w:rFonts w:ascii="仿宋_GB2312" w:eastAsia="仿宋_GB2312" w:hAnsi="微软雅黑"/>
          <w:color w:val="000000"/>
          <w:sz w:val="32"/>
          <w:szCs w:val="32"/>
        </w:rPr>
        <w:t>年一般公共预算基本支出</w:t>
      </w:r>
      <w:r>
        <w:rPr>
          <w:rFonts w:ascii="仿宋_GB2312" w:eastAsia="仿宋_GB2312" w:hAnsi="微软雅黑" w:hint="eastAsia"/>
          <w:color w:val="000000"/>
          <w:sz w:val="32"/>
          <w:szCs w:val="32"/>
        </w:rPr>
        <w:t>640.03</w:t>
      </w:r>
      <w:r>
        <w:rPr>
          <w:rFonts w:ascii="仿宋_GB2312" w:eastAsia="仿宋_GB2312" w:hAnsi="微软雅黑"/>
          <w:color w:val="000000"/>
          <w:sz w:val="32"/>
          <w:szCs w:val="32"/>
        </w:rPr>
        <w:t>万元，其中，人员经费</w:t>
      </w:r>
      <w:r>
        <w:rPr>
          <w:rFonts w:ascii="仿宋_GB2312" w:eastAsia="仿宋_GB2312" w:hAnsi="微软雅黑" w:hint="eastAsia"/>
          <w:color w:val="000000"/>
          <w:sz w:val="32"/>
          <w:szCs w:val="32"/>
        </w:rPr>
        <w:t>554.03</w:t>
      </w:r>
      <w:r>
        <w:rPr>
          <w:rFonts w:ascii="仿宋_GB2312" w:eastAsia="仿宋_GB2312" w:hAnsi="微软雅黑"/>
          <w:color w:val="000000"/>
          <w:sz w:val="32"/>
          <w:szCs w:val="32"/>
        </w:rPr>
        <w:t>万元，主要包括：基本工资、津贴补贴、</w:t>
      </w:r>
      <w:r>
        <w:rPr>
          <w:rFonts w:ascii="仿宋_GB2312" w:eastAsia="仿宋_GB2312" w:hAnsi="微软雅黑" w:hint="eastAsia"/>
          <w:color w:val="000000"/>
          <w:sz w:val="32"/>
          <w:szCs w:val="32"/>
        </w:rPr>
        <w:t>绩效工资，</w:t>
      </w:r>
      <w:r>
        <w:rPr>
          <w:rFonts w:ascii="仿宋_GB2312" w:eastAsia="仿宋_GB2312" w:hAnsi="微软雅黑"/>
          <w:color w:val="000000"/>
          <w:sz w:val="32"/>
          <w:szCs w:val="32"/>
        </w:rPr>
        <w:t>机关事业单位养老保险缴费、职业年金缴费、住房公积金、退休费</w:t>
      </w:r>
      <w:r>
        <w:rPr>
          <w:rFonts w:ascii="仿宋_GB2312" w:eastAsia="仿宋_GB2312" w:hAnsi="微软雅黑" w:hint="eastAsia"/>
          <w:color w:val="000000"/>
          <w:sz w:val="32"/>
          <w:szCs w:val="32"/>
        </w:rPr>
        <w:t>；公用经费</w:t>
      </w:r>
      <w:r>
        <w:rPr>
          <w:rFonts w:ascii="仿宋_GB2312" w:eastAsia="仿宋_GB2312" w:hAnsi="微软雅黑" w:hint="eastAsia"/>
          <w:color w:val="000000"/>
          <w:sz w:val="32"/>
          <w:szCs w:val="32"/>
        </w:rPr>
        <w:t>86</w:t>
      </w:r>
      <w:r>
        <w:rPr>
          <w:rFonts w:ascii="仿宋_GB2312" w:eastAsia="仿宋_GB2312" w:hAnsi="微软雅黑" w:hint="eastAsia"/>
          <w:color w:val="000000"/>
          <w:sz w:val="32"/>
          <w:szCs w:val="32"/>
        </w:rPr>
        <w:t>万元，主要包括：办公费、印刷费、</w:t>
      </w:r>
      <w:r>
        <w:rPr>
          <w:rFonts w:ascii="仿宋_GB2312" w:eastAsia="仿宋_GB2312" w:hAnsi="微软雅黑" w:hint="eastAsia"/>
          <w:color w:val="000000"/>
          <w:sz w:val="32"/>
          <w:szCs w:val="32"/>
        </w:rPr>
        <w:t xml:space="preserve"> </w:t>
      </w:r>
      <w:r>
        <w:rPr>
          <w:rFonts w:ascii="仿宋_GB2312" w:eastAsia="仿宋_GB2312" w:hAnsi="微软雅黑" w:hint="eastAsia"/>
          <w:color w:val="000000"/>
          <w:sz w:val="32"/>
          <w:szCs w:val="32"/>
        </w:rPr>
        <w:t>电费、</w:t>
      </w:r>
      <w:r>
        <w:rPr>
          <w:rFonts w:ascii="仿宋_GB2312" w:eastAsia="仿宋_GB2312" w:hAnsi="微软雅黑" w:hint="eastAsia"/>
          <w:color w:val="000000"/>
          <w:sz w:val="32"/>
          <w:szCs w:val="32"/>
        </w:rPr>
        <w:t xml:space="preserve"> </w:t>
      </w:r>
      <w:r>
        <w:rPr>
          <w:rFonts w:ascii="仿宋_GB2312" w:eastAsia="仿宋_GB2312" w:hAnsi="微软雅黑" w:hint="eastAsia"/>
          <w:color w:val="000000"/>
          <w:sz w:val="32"/>
          <w:szCs w:val="32"/>
        </w:rPr>
        <w:t>邮电费、</w:t>
      </w:r>
      <w:r>
        <w:rPr>
          <w:rFonts w:ascii="仿宋_GB2312" w:eastAsia="仿宋_GB2312" w:hAnsi="微软雅黑" w:hint="eastAsia"/>
          <w:color w:val="000000"/>
          <w:sz w:val="32"/>
          <w:szCs w:val="32"/>
        </w:rPr>
        <w:t xml:space="preserve"> </w:t>
      </w:r>
      <w:r>
        <w:rPr>
          <w:rFonts w:ascii="仿宋_GB2312" w:eastAsia="仿宋_GB2312" w:hAnsi="微软雅黑" w:hint="eastAsia"/>
          <w:color w:val="000000"/>
          <w:sz w:val="32"/>
          <w:szCs w:val="32"/>
        </w:rPr>
        <w:t>取暖费、</w:t>
      </w:r>
      <w:r>
        <w:rPr>
          <w:rFonts w:ascii="仿宋_GB2312" w:eastAsia="仿宋_GB2312" w:hAnsi="微软雅黑" w:hint="eastAsia"/>
          <w:color w:val="000000"/>
          <w:sz w:val="32"/>
          <w:szCs w:val="32"/>
        </w:rPr>
        <w:lastRenderedPageBreak/>
        <w:t>差旅费、</w:t>
      </w:r>
      <w:r>
        <w:rPr>
          <w:rFonts w:ascii="仿宋_GB2312" w:eastAsia="仿宋_GB2312" w:hAnsi="微软雅黑" w:hint="eastAsia"/>
          <w:color w:val="000000"/>
          <w:sz w:val="32"/>
          <w:szCs w:val="32"/>
        </w:rPr>
        <w:t xml:space="preserve"> </w:t>
      </w:r>
      <w:r>
        <w:rPr>
          <w:rFonts w:ascii="仿宋_GB2312" w:eastAsia="仿宋_GB2312" w:hAnsi="微软雅黑" w:hint="eastAsia"/>
          <w:color w:val="000000"/>
          <w:sz w:val="32"/>
          <w:szCs w:val="32"/>
        </w:rPr>
        <w:t>维修（护）费、会议费、培训费、劳务费、委托业务费、工会经费、其他商品和服务支出、办公设备购置、信息网络及软件购置更新。</w:t>
      </w:r>
    </w:p>
    <w:p w:rsidR="00D62EB9" w:rsidRDefault="00D27420">
      <w:pPr>
        <w:pStyle w:val="a6"/>
        <w:rPr>
          <w:rFonts w:ascii="fangsong_GB2312" w:hAnsi="fangsong_GB2312" w:hint="eastAsia"/>
          <w:color w:val="000000"/>
          <w:sz w:val="32"/>
          <w:szCs w:val="32"/>
        </w:rPr>
      </w:pPr>
      <w:r>
        <w:rPr>
          <w:rFonts w:ascii="fangsong_GB2312" w:hAnsi="fangsong_GB2312"/>
          <w:color w:val="000000"/>
          <w:sz w:val="32"/>
          <w:szCs w:val="32"/>
        </w:rPr>
        <w:t xml:space="preserve">　　</w:t>
      </w:r>
      <w:r>
        <w:rPr>
          <w:rFonts w:ascii="黑体" w:eastAsia="黑体" w:hAnsi="黑体" w:hint="eastAsia"/>
          <w:color w:val="000000"/>
          <w:sz w:val="32"/>
          <w:szCs w:val="32"/>
        </w:rPr>
        <w:t>五、关于</w:t>
      </w:r>
      <w:r>
        <w:rPr>
          <w:rFonts w:ascii="黑体" w:eastAsia="黑体" w:hAnsi="黑体" w:hint="eastAsia"/>
          <w:color w:val="000000"/>
          <w:sz w:val="32"/>
          <w:szCs w:val="32"/>
        </w:rPr>
        <w:t>2025</w:t>
      </w:r>
      <w:r>
        <w:rPr>
          <w:rFonts w:ascii="黑体" w:eastAsia="黑体" w:hAnsi="黑体" w:hint="eastAsia"/>
          <w:color w:val="000000"/>
          <w:sz w:val="32"/>
          <w:szCs w:val="32"/>
        </w:rPr>
        <w:t>年度“三公”经费支出的说明</w:t>
      </w:r>
    </w:p>
    <w:p w:rsidR="00D62EB9" w:rsidRDefault="00D27420">
      <w:pPr>
        <w:pStyle w:val="a6"/>
        <w:rPr>
          <w:rFonts w:ascii="仿宋_GB2312" w:eastAsia="仿宋_GB2312" w:hAnsi="微软雅黑"/>
          <w:color w:val="000000"/>
          <w:sz w:val="32"/>
          <w:szCs w:val="32"/>
        </w:rPr>
      </w:pPr>
      <w:r>
        <w:rPr>
          <w:rFonts w:ascii="fangsong_GB2312" w:hAnsi="fangsong_GB2312"/>
          <w:color w:val="000000"/>
          <w:sz w:val="32"/>
          <w:szCs w:val="32"/>
        </w:rPr>
        <w:t xml:space="preserve">　　</w:t>
      </w:r>
      <w:r>
        <w:rPr>
          <w:rFonts w:ascii="仿宋_GB2312" w:eastAsia="仿宋_GB2312" w:hAnsi="微软雅黑" w:hint="eastAsia"/>
          <w:color w:val="000000"/>
          <w:sz w:val="32"/>
          <w:szCs w:val="32"/>
        </w:rPr>
        <w:t>2025</w:t>
      </w:r>
      <w:r>
        <w:rPr>
          <w:rFonts w:ascii="仿宋_GB2312" w:eastAsia="仿宋_GB2312" w:hAnsi="微软雅黑"/>
          <w:color w:val="000000"/>
          <w:sz w:val="32"/>
          <w:szCs w:val="32"/>
        </w:rPr>
        <w:t>年度无</w:t>
      </w:r>
      <w:r w:rsidR="00995B2C">
        <w:rPr>
          <w:rFonts w:ascii="仿宋_GB2312" w:eastAsia="仿宋_GB2312" w:hAnsi="微软雅黑" w:hint="eastAsia"/>
          <w:color w:val="000000"/>
          <w:sz w:val="32"/>
          <w:szCs w:val="32"/>
        </w:rPr>
        <w:t>“</w:t>
      </w:r>
      <w:r w:rsidR="00995B2C">
        <w:rPr>
          <w:rFonts w:ascii="仿宋_GB2312" w:eastAsia="仿宋_GB2312" w:hAnsi="微软雅黑"/>
          <w:color w:val="000000"/>
          <w:sz w:val="32"/>
          <w:szCs w:val="32"/>
        </w:rPr>
        <w:t>三公</w:t>
      </w:r>
      <w:r w:rsidR="00995B2C">
        <w:rPr>
          <w:rFonts w:ascii="仿宋_GB2312" w:eastAsia="仿宋_GB2312" w:hAnsi="微软雅黑" w:hint="eastAsia"/>
          <w:color w:val="000000"/>
          <w:sz w:val="32"/>
          <w:szCs w:val="32"/>
        </w:rPr>
        <w:t>”</w:t>
      </w:r>
      <w:r>
        <w:rPr>
          <w:rFonts w:ascii="仿宋_GB2312" w:eastAsia="仿宋_GB2312" w:hAnsi="微软雅黑"/>
          <w:color w:val="000000"/>
          <w:sz w:val="32"/>
          <w:szCs w:val="32"/>
        </w:rPr>
        <w:t>经费支出。</w:t>
      </w:r>
    </w:p>
    <w:p w:rsidR="00D62EB9" w:rsidRDefault="00D27420">
      <w:pPr>
        <w:pStyle w:val="a6"/>
        <w:rPr>
          <w:rFonts w:ascii="fangsong_GB2312" w:hAnsi="fangsong_GB2312" w:hint="eastAsia"/>
          <w:color w:val="000000"/>
          <w:sz w:val="32"/>
          <w:szCs w:val="32"/>
        </w:rPr>
      </w:pPr>
      <w:r>
        <w:rPr>
          <w:rFonts w:ascii="fangsong_GB2312" w:hAnsi="fangsong_GB2312"/>
          <w:color w:val="000000"/>
          <w:sz w:val="32"/>
          <w:szCs w:val="32"/>
        </w:rPr>
        <w:t xml:space="preserve">　　</w:t>
      </w:r>
      <w:r>
        <w:rPr>
          <w:rFonts w:ascii="黑体" w:eastAsia="黑体" w:hAnsi="黑体" w:hint="eastAsia"/>
          <w:color w:val="000000"/>
          <w:sz w:val="32"/>
          <w:szCs w:val="32"/>
        </w:rPr>
        <w:t>六、</w:t>
      </w:r>
      <w:r>
        <w:rPr>
          <w:rFonts w:ascii="黑体" w:eastAsia="黑体" w:hAnsi="黑体" w:hint="eastAsia"/>
          <w:color w:val="000000"/>
          <w:sz w:val="32"/>
          <w:szCs w:val="32"/>
        </w:rPr>
        <w:t>2025</w:t>
      </w:r>
      <w:r>
        <w:rPr>
          <w:rFonts w:ascii="黑体" w:eastAsia="黑体" w:hAnsi="黑体" w:hint="eastAsia"/>
          <w:color w:val="000000"/>
          <w:sz w:val="32"/>
          <w:szCs w:val="32"/>
        </w:rPr>
        <w:t>年度政府性基金支出情况的说明</w:t>
      </w:r>
    </w:p>
    <w:p w:rsidR="00D62EB9" w:rsidRDefault="00D27420">
      <w:pPr>
        <w:pStyle w:val="a6"/>
        <w:rPr>
          <w:rFonts w:ascii="仿宋_GB2312" w:eastAsia="仿宋_GB2312" w:hAnsi="微软雅黑"/>
          <w:color w:val="000000"/>
          <w:sz w:val="32"/>
          <w:szCs w:val="32"/>
        </w:rPr>
      </w:pPr>
      <w:r>
        <w:rPr>
          <w:rFonts w:ascii="fangsong_GB2312" w:hAnsi="fangsong_GB2312"/>
          <w:color w:val="000000"/>
          <w:sz w:val="32"/>
          <w:szCs w:val="32"/>
        </w:rPr>
        <w:t xml:space="preserve">　　</w:t>
      </w:r>
      <w:r>
        <w:rPr>
          <w:rFonts w:ascii="仿宋_GB2312" w:eastAsia="仿宋_GB2312" w:hAnsi="微软雅黑" w:hint="eastAsia"/>
          <w:color w:val="000000"/>
          <w:sz w:val="32"/>
          <w:szCs w:val="32"/>
        </w:rPr>
        <w:t>2025</w:t>
      </w:r>
      <w:r>
        <w:rPr>
          <w:rFonts w:ascii="仿宋_GB2312" w:eastAsia="仿宋_GB2312" w:hAnsi="微软雅黑"/>
          <w:color w:val="000000"/>
          <w:sz w:val="32"/>
          <w:szCs w:val="32"/>
        </w:rPr>
        <w:t>年度无政府性基金支出。</w:t>
      </w:r>
    </w:p>
    <w:p w:rsidR="00D62EB9" w:rsidRDefault="00D27420">
      <w:pPr>
        <w:pStyle w:val="a6"/>
        <w:rPr>
          <w:rFonts w:ascii="fangsong_GB2312" w:hAnsi="fangsong_GB2312" w:hint="eastAsia"/>
          <w:color w:val="000000"/>
          <w:sz w:val="32"/>
          <w:szCs w:val="32"/>
        </w:rPr>
      </w:pPr>
      <w:r>
        <w:rPr>
          <w:rFonts w:ascii="fangsong_GB2312" w:hAnsi="fangsong_GB2312"/>
          <w:color w:val="000000"/>
          <w:sz w:val="32"/>
          <w:szCs w:val="32"/>
        </w:rPr>
        <w:t xml:space="preserve">　　</w:t>
      </w:r>
      <w:r>
        <w:rPr>
          <w:rFonts w:ascii="黑体" w:eastAsia="黑体" w:hAnsi="黑体" w:hint="eastAsia"/>
          <w:color w:val="000000"/>
          <w:sz w:val="32"/>
          <w:szCs w:val="32"/>
        </w:rPr>
        <w:t>七、</w:t>
      </w:r>
      <w:r>
        <w:rPr>
          <w:rFonts w:ascii="黑体" w:eastAsia="黑体" w:hAnsi="黑体" w:hint="eastAsia"/>
          <w:color w:val="000000"/>
          <w:sz w:val="32"/>
          <w:szCs w:val="32"/>
        </w:rPr>
        <w:t>2025</w:t>
      </w:r>
      <w:r>
        <w:rPr>
          <w:rFonts w:ascii="黑体" w:eastAsia="黑体" w:hAnsi="黑体" w:hint="eastAsia"/>
          <w:color w:val="000000"/>
          <w:sz w:val="32"/>
          <w:szCs w:val="32"/>
        </w:rPr>
        <w:t>年度国有资本经营支</w:t>
      </w:r>
      <w:r>
        <w:rPr>
          <w:rFonts w:ascii="黑体" w:eastAsia="黑体" w:hAnsi="黑体" w:hint="eastAsia"/>
          <w:color w:val="000000"/>
          <w:sz w:val="32"/>
          <w:szCs w:val="32"/>
        </w:rPr>
        <w:t>出情况的说明</w:t>
      </w:r>
    </w:p>
    <w:p w:rsidR="00D62EB9" w:rsidRDefault="00D27420">
      <w:pPr>
        <w:pStyle w:val="a6"/>
        <w:rPr>
          <w:rFonts w:ascii="仿宋_GB2312" w:eastAsia="仿宋_GB2312" w:hAnsi="微软雅黑"/>
          <w:color w:val="000000"/>
          <w:sz w:val="32"/>
          <w:szCs w:val="32"/>
        </w:rPr>
      </w:pPr>
      <w:r>
        <w:rPr>
          <w:rFonts w:ascii="fangsong_GB2312" w:hAnsi="fangsong_GB2312"/>
          <w:color w:val="000000"/>
          <w:sz w:val="32"/>
          <w:szCs w:val="32"/>
        </w:rPr>
        <w:t xml:space="preserve">　　</w:t>
      </w:r>
      <w:r>
        <w:rPr>
          <w:rFonts w:ascii="仿宋_GB2312" w:eastAsia="仿宋_GB2312" w:hAnsi="微软雅黑" w:hint="eastAsia"/>
          <w:color w:val="000000"/>
          <w:sz w:val="32"/>
          <w:szCs w:val="32"/>
        </w:rPr>
        <w:t>2025</w:t>
      </w:r>
      <w:r>
        <w:rPr>
          <w:rFonts w:ascii="仿宋_GB2312" w:eastAsia="仿宋_GB2312" w:hAnsi="微软雅黑"/>
          <w:color w:val="000000"/>
          <w:sz w:val="32"/>
          <w:szCs w:val="32"/>
        </w:rPr>
        <w:t>年度无国有资本经营支出。</w:t>
      </w:r>
    </w:p>
    <w:p w:rsidR="00D62EB9" w:rsidRDefault="00D27420">
      <w:pPr>
        <w:pStyle w:val="a6"/>
        <w:ind w:firstLineChars="200" w:firstLine="640"/>
        <w:rPr>
          <w:rFonts w:ascii="黑体" w:eastAsia="黑体" w:hAnsi="黑体"/>
          <w:color w:val="000000"/>
          <w:sz w:val="32"/>
          <w:szCs w:val="32"/>
        </w:rPr>
      </w:pPr>
      <w:r>
        <w:rPr>
          <w:rFonts w:ascii="黑体" w:eastAsia="黑体" w:hAnsi="黑体" w:hint="eastAsia"/>
          <w:color w:val="000000"/>
          <w:sz w:val="32"/>
          <w:szCs w:val="32"/>
        </w:rPr>
        <w:t>八、关于</w:t>
      </w:r>
      <w:r>
        <w:rPr>
          <w:rFonts w:ascii="黑体" w:eastAsia="黑体" w:hAnsi="黑体" w:hint="eastAsia"/>
          <w:color w:val="000000"/>
          <w:sz w:val="32"/>
          <w:szCs w:val="32"/>
        </w:rPr>
        <w:t>2025</w:t>
      </w:r>
      <w:r>
        <w:rPr>
          <w:rFonts w:ascii="黑体" w:eastAsia="黑体" w:hAnsi="黑体" w:hint="eastAsia"/>
          <w:color w:val="000000"/>
          <w:sz w:val="32"/>
          <w:szCs w:val="32"/>
        </w:rPr>
        <w:t>年度其他重要事项情况的说明</w:t>
      </w:r>
    </w:p>
    <w:p w:rsidR="00D62EB9" w:rsidRDefault="00D27420">
      <w:pPr>
        <w:pStyle w:val="a6"/>
        <w:ind w:firstLineChars="200" w:firstLine="640"/>
        <w:rPr>
          <w:rFonts w:ascii="仿宋_GB2312" w:eastAsia="仿宋_GB2312" w:hAnsi="微软雅黑"/>
          <w:color w:val="000000"/>
          <w:sz w:val="32"/>
          <w:szCs w:val="32"/>
        </w:rPr>
      </w:pPr>
      <w:r>
        <w:rPr>
          <w:rFonts w:ascii="仿宋_GB2312" w:eastAsia="仿宋_GB2312" w:hAnsi="微软雅黑" w:hint="eastAsia"/>
          <w:color w:val="000000"/>
          <w:sz w:val="32"/>
          <w:szCs w:val="32"/>
        </w:rPr>
        <w:t>2025</w:t>
      </w:r>
      <w:r>
        <w:rPr>
          <w:rFonts w:ascii="仿宋_GB2312" w:eastAsia="仿宋_GB2312" w:hAnsi="微软雅黑" w:hint="eastAsia"/>
          <w:color w:val="000000"/>
          <w:sz w:val="32"/>
          <w:szCs w:val="32"/>
        </w:rPr>
        <w:t>年度我馆共</w:t>
      </w:r>
      <w:r>
        <w:rPr>
          <w:rFonts w:ascii="仿宋_GB2312" w:eastAsia="仿宋_GB2312" w:hAnsi="微软雅黑" w:hint="eastAsia"/>
          <w:color w:val="000000"/>
          <w:sz w:val="32"/>
          <w:szCs w:val="32"/>
        </w:rPr>
        <w:t>3</w:t>
      </w:r>
      <w:r>
        <w:rPr>
          <w:rFonts w:ascii="仿宋_GB2312" w:eastAsia="仿宋_GB2312" w:hAnsi="微软雅黑" w:hint="eastAsia"/>
          <w:color w:val="000000"/>
          <w:sz w:val="32"/>
          <w:szCs w:val="32"/>
        </w:rPr>
        <w:t>个项目，分别为国家中医药文博专项，办公用房运行保障项目，国家中医药数字博物馆建设项目，相关预算项目绩效情况如下：</w:t>
      </w:r>
    </w:p>
    <w:p w:rsidR="00D62EB9" w:rsidRDefault="00D27420">
      <w:pPr>
        <w:pStyle w:val="a6"/>
        <w:ind w:firstLine="640"/>
      </w:pPr>
      <w:r>
        <w:rPr>
          <w:noProof/>
        </w:rPr>
        <w:lastRenderedPageBreak/>
        <w:drawing>
          <wp:inline distT="0" distB="0" distL="114300" distR="114300">
            <wp:extent cx="5842000" cy="7983855"/>
            <wp:effectExtent l="0" t="0" r="6350"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
                    <a:stretch>
                      <a:fillRect/>
                    </a:stretch>
                  </pic:blipFill>
                  <pic:spPr>
                    <a:xfrm>
                      <a:off x="0" y="0"/>
                      <a:ext cx="5842000" cy="7983855"/>
                    </a:xfrm>
                    <a:prstGeom prst="rect">
                      <a:avLst/>
                    </a:prstGeom>
                    <a:noFill/>
                    <a:ln>
                      <a:noFill/>
                    </a:ln>
                  </pic:spPr>
                </pic:pic>
              </a:graphicData>
            </a:graphic>
          </wp:inline>
        </w:drawing>
      </w:r>
    </w:p>
    <w:p w:rsidR="00D62EB9" w:rsidRDefault="00D27420">
      <w:pPr>
        <w:pStyle w:val="a6"/>
        <w:ind w:firstLine="640"/>
      </w:pPr>
      <w:r>
        <w:rPr>
          <w:noProof/>
        </w:rPr>
        <w:lastRenderedPageBreak/>
        <w:drawing>
          <wp:inline distT="0" distB="0" distL="114300" distR="114300">
            <wp:extent cx="5847715" cy="5832475"/>
            <wp:effectExtent l="0" t="0" r="635" b="1587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1"/>
                    <a:stretch>
                      <a:fillRect/>
                    </a:stretch>
                  </pic:blipFill>
                  <pic:spPr>
                    <a:xfrm>
                      <a:off x="0" y="0"/>
                      <a:ext cx="5847715" cy="5832475"/>
                    </a:xfrm>
                    <a:prstGeom prst="rect">
                      <a:avLst/>
                    </a:prstGeom>
                    <a:noFill/>
                    <a:ln>
                      <a:noFill/>
                    </a:ln>
                  </pic:spPr>
                </pic:pic>
              </a:graphicData>
            </a:graphic>
          </wp:inline>
        </w:drawing>
      </w:r>
    </w:p>
    <w:p w:rsidR="00D62EB9" w:rsidRDefault="00D27420">
      <w:pPr>
        <w:pStyle w:val="a6"/>
        <w:ind w:firstLine="640"/>
      </w:pPr>
      <w:r>
        <w:rPr>
          <w:noProof/>
        </w:rPr>
        <w:lastRenderedPageBreak/>
        <w:drawing>
          <wp:inline distT="0" distB="0" distL="114300" distR="114300">
            <wp:extent cx="5864860" cy="8143240"/>
            <wp:effectExtent l="0" t="0" r="2540" b="1016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2"/>
                    <a:stretch>
                      <a:fillRect/>
                    </a:stretch>
                  </pic:blipFill>
                  <pic:spPr>
                    <a:xfrm>
                      <a:off x="0" y="0"/>
                      <a:ext cx="5864860" cy="8143240"/>
                    </a:xfrm>
                    <a:prstGeom prst="rect">
                      <a:avLst/>
                    </a:prstGeom>
                    <a:noFill/>
                    <a:ln>
                      <a:noFill/>
                    </a:ln>
                  </pic:spPr>
                </pic:pic>
              </a:graphicData>
            </a:graphic>
          </wp:inline>
        </w:drawing>
      </w:r>
    </w:p>
    <w:p w:rsidR="00D62EB9" w:rsidRDefault="00D27420">
      <w:pPr>
        <w:pStyle w:val="a6"/>
        <w:shd w:val="clear" w:color="auto" w:fill="FFFFFF"/>
        <w:spacing w:before="0" w:beforeAutospacing="0" w:after="0" w:afterAutospacing="0" w:line="600" w:lineRule="exact"/>
        <w:jc w:val="center"/>
        <w:rPr>
          <w:rFonts w:ascii="黑体" w:eastAsia="黑体" w:hAnsi="黑体"/>
          <w:color w:val="000000"/>
          <w:sz w:val="32"/>
          <w:szCs w:val="32"/>
        </w:rPr>
      </w:pPr>
      <w:r>
        <w:rPr>
          <w:rFonts w:ascii="黑体" w:eastAsia="黑体" w:hAnsi="黑体" w:hint="eastAsia"/>
          <w:color w:val="000000"/>
          <w:sz w:val="32"/>
          <w:szCs w:val="32"/>
        </w:rPr>
        <w:lastRenderedPageBreak/>
        <w:t>第四部分</w:t>
      </w:r>
      <w:r>
        <w:rPr>
          <w:rFonts w:ascii="黑体" w:eastAsia="黑体" w:hAnsi="黑体" w:hint="eastAsia"/>
          <w:color w:val="000000"/>
          <w:sz w:val="32"/>
          <w:szCs w:val="32"/>
        </w:rPr>
        <w:t xml:space="preserve"> </w:t>
      </w:r>
      <w:r>
        <w:rPr>
          <w:rFonts w:ascii="黑体" w:eastAsia="黑体" w:hAnsi="黑体" w:hint="eastAsia"/>
          <w:color w:val="000000"/>
          <w:sz w:val="32"/>
          <w:szCs w:val="32"/>
        </w:rPr>
        <w:t>名词解释</w:t>
      </w:r>
    </w:p>
    <w:p w:rsidR="00D62EB9" w:rsidRDefault="00D62EB9">
      <w:pPr>
        <w:pStyle w:val="a6"/>
        <w:shd w:val="clear" w:color="auto" w:fill="FFFFFF"/>
        <w:spacing w:before="0" w:beforeAutospacing="0" w:after="0" w:afterAutospacing="0" w:line="600" w:lineRule="exact"/>
        <w:jc w:val="center"/>
        <w:rPr>
          <w:rFonts w:ascii="黑体" w:eastAsia="黑体" w:hAnsi="黑体"/>
          <w:color w:val="000000"/>
          <w:sz w:val="32"/>
          <w:szCs w:val="32"/>
        </w:rPr>
      </w:pPr>
    </w:p>
    <w:p w:rsidR="00D62EB9" w:rsidRDefault="00D27420">
      <w:pPr>
        <w:pStyle w:val="a6"/>
        <w:shd w:val="clear" w:color="auto" w:fill="FFFFFF"/>
        <w:spacing w:before="0" w:beforeAutospacing="0" w:after="0" w:afterAutospacing="0" w:line="600" w:lineRule="exact"/>
        <w:jc w:val="both"/>
        <w:rPr>
          <w:rFonts w:ascii="微软雅黑" w:eastAsia="微软雅黑" w:hAnsi="微软雅黑"/>
          <w:color w:val="000000"/>
          <w:sz w:val="32"/>
          <w:szCs w:val="32"/>
        </w:rPr>
      </w:pPr>
      <w:r>
        <w:rPr>
          <w:rFonts w:ascii="黑体" w:eastAsia="黑体" w:hAnsi="黑体" w:hint="eastAsia"/>
          <w:color w:val="000000"/>
          <w:sz w:val="32"/>
          <w:szCs w:val="32"/>
        </w:rPr>
        <w:t xml:space="preserve">　　一、收入科目</w:t>
      </w:r>
    </w:p>
    <w:p w:rsidR="00D62EB9" w:rsidRPr="00995B2C" w:rsidRDefault="00995B2C">
      <w:pPr>
        <w:pStyle w:val="a6"/>
        <w:shd w:val="clear" w:color="auto" w:fill="FFFFFF"/>
        <w:spacing w:before="0" w:beforeAutospacing="0" w:after="0" w:afterAutospacing="0" w:line="600" w:lineRule="exact"/>
        <w:ind w:firstLine="482"/>
        <w:jc w:val="both"/>
        <w:rPr>
          <w:rFonts w:ascii="仿宋_GB2312" w:eastAsia="仿宋_GB2312" w:hAnsiTheme="minorHAnsi" w:cstheme="minorBidi"/>
          <w:kern w:val="2"/>
          <w:sz w:val="32"/>
          <w:szCs w:val="32"/>
        </w:rPr>
      </w:pPr>
      <w:r>
        <w:rPr>
          <w:rFonts w:ascii="仿宋_GB2312" w:eastAsia="仿宋_GB2312" w:hAnsiTheme="minorHAnsi" w:cstheme="minorBidi" w:hint="eastAsia"/>
          <w:kern w:val="2"/>
          <w:sz w:val="32"/>
          <w:szCs w:val="32"/>
        </w:rPr>
        <w:t>（一）</w:t>
      </w:r>
      <w:r w:rsidR="00D27420" w:rsidRPr="00995B2C">
        <w:rPr>
          <w:rFonts w:ascii="仿宋_GB2312" w:eastAsia="仿宋_GB2312" w:hAnsiTheme="minorHAnsi" w:cstheme="minorBidi" w:hint="eastAsia"/>
          <w:kern w:val="2"/>
          <w:sz w:val="32"/>
          <w:szCs w:val="32"/>
        </w:rPr>
        <w:t>一般公共预算拨款收入：指中央财政当年拨付的资金。</w:t>
      </w:r>
    </w:p>
    <w:p w:rsidR="00D62EB9" w:rsidRPr="00995B2C" w:rsidRDefault="00995B2C">
      <w:pPr>
        <w:pStyle w:val="a6"/>
        <w:shd w:val="clear" w:color="auto" w:fill="FFFFFF"/>
        <w:spacing w:before="0" w:beforeAutospacing="0" w:after="0" w:afterAutospacing="0" w:line="600" w:lineRule="exact"/>
        <w:ind w:firstLine="482"/>
        <w:jc w:val="both"/>
        <w:rPr>
          <w:rFonts w:ascii="仿宋_GB2312" w:eastAsia="仿宋_GB2312" w:hAnsiTheme="minorHAnsi" w:cstheme="minorBidi"/>
          <w:kern w:val="2"/>
          <w:sz w:val="32"/>
          <w:szCs w:val="32"/>
        </w:rPr>
      </w:pPr>
      <w:r>
        <w:rPr>
          <w:rFonts w:ascii="仿宋_GB2312" w:eastAsia="仿宋_GB2312" w:hAnsiTheme="minorHAnsi" w:cstheme="minorBidi" w:hint="eastAsia"/>
          <w:kern w:val="2"/>
          <w:sz w:val="32"/>
          <w:szCs w:val="32"/>
        </w:rPr>
        <w:t>（二）</w:t>
      </w:r>
      <w:r w:rsidR="00D27420" w:rsidRPr="00995B2C">
        <w:rPr>
          <w:rFonts w:ascii="仿宋_GB2312" w:eastAsia="仿宋_GB2312" w:hAnsiTheme="minorHAnsi" w:cstheme="minorBidi" w:hint="eastAsia"/>
          <w:kern w:val="2"/>
          <w:sz w:val="32"/>
          <w:szCs w:val="32"/>
        </w:rPr>
        <w:t>事业收入：指事业单位开展专业业务活动及辅助活动所取得的收入。</w:t>
      </w:r>
    </w:p>
    <w:p w:rsidR="00D62EB9" w:rsidRPr="00995B2C" w:rsidRDefault="00995B2C">
      <w:pPr>
        <w:pStyle w:val="a6"/>
        <w:shd w:val="clear" w:color="auto" w:fill="FFFFFF"/>
        <w:spacing w:before="0" w:beforeAutospacing="0" w:after="0" w:afterAutospacing="0" w:line="600" w:lineRule="exact"/>
        <w:ind w:firstLine="482"/>
        <w:jc w:val="both"/>
        <w:rPr>
          <w:rFonts w:ascii="仿宋_GB2312" w:eastAsia="仿宋_GB2312" w:hAnsiTheme="minorHAnsi" w:cstheme="minorBidi"/>
          <w:kern w:val="2"/>
          <w:sz w:val="32"/>
          <w:szCs w:val="32"/>
        </w:rPr>
      </w:pPr>
      <w:r>
        <w:rPr>
          <w:rFonts w:ascii="仿宋_GB2312" w:eastAsia="仿宋_GB2312" w:hAnsiTheme="minorHAnsi" w:cstheme="minorBidi" w:hint="eastAsia"/>
          <w:kern w:val="2"/>
          <w:sz w:val="32"/>
          <w:szCs w:val="32"/>
        </w:rPr>
        <w:t>（三）</w:t>
      </w:r>
      <w:r w:rsidR="00D27420" w:rsidRPr="00995B2C">
        <w:rPr>
          <w:rFonts w:ascii="仿宋_GB2312" w:eastAsia="仿宋_GB2312" w:hAnsiTheme="minorHAnsi" w:cstheme="minorBidi" w:hint="eastAsia"/>
          <w:kern w:val="2"/>
          <w:sz w:val="32"/>
          <w:szCs w:val="32"/>
        </w:rPr>
        <w:t>其他收入：</w:t>
      </w:r>
      <w:r w:rsidR="00D27420" w:rsidRPr="00995B2C">
        <w:rPr>
          <w:rFonts w:ascii="仿宋_GB2312" w:eastAsia="仿宋_GB2312" w:hAnsiTheme="minorHAnsi" w:cstheme="minorBidi"/>
          <w:kern w:val="2"/>
          <w:sz w:val="32"/>
          <w:szCs w:val="32"/>
        </w:rPr>
        <w:t>指除上述</w:t>
      </w:r>
      <w:r>
        <w:rPr>
          <w:rFonts w:ascii="仿宋_GB2312" w:eastAsia="仿宋_GB2312" w:hAnsiTheme="minorHAnsi" w:cstheme="minorBidi" w:hint="eastAsia"/>
          <w:kern w:val="2"/>
          <w:sz w:val="32"/>
          <w:szCs w:val="32"/>
        </w:rPr>
        <w:t>“</w:t>
      </w:r>
      <w:r w:rsidRPr="00995B2C">
        <w:rPr>
          <w:rFonts w:ascii="仿宋_GB2312" w:eastAsia="仿宋_GB2312" w:hAnsiTheme="minorHAnsi" w:cstheme="minorBidi"/>
          <w:kern w:val="2"/>
          <w:sz w:val="32"/>
          <w:szCs w:val="32"/>
        </w:rPr>
        <w:t>一般公共预算拨款收入</w:t>
      </w:r>
      <w:r>
        <w:rPr>
          <w:rFonts w:ascii="仿宋_GB2312" w:eastAsia="仿宋_GB2312" w:hAnsiTheme="minorHAnsi" w:cstheme="minorBidi" w:hint="eastAsia"/>
          <w:kern w:val="2"/>
          <w:sz w:val="32"/>
          <w:szCs w:val="32"/>
        </w:rPr>
        <w:t>”</w:t>
      </w:r>
      <w:r w:rsidR="00D27420" w:rsidRPr="00995B2C">
        <w:rPr>
          <w:rFonts w:ascii="仿宋_GB2312" w:eastAsia="仿宋_GB2312" w:hAnsiTheme="minorHAnsi" w:cstheme="minorBidi"/>
          <w:kern w:val="2"/>
          <w:sz w:val="32"/>
          <w:szCs w:val="32"/>
        </w:rPr>
        <w:t>、</w:t>
      </w:r>
      <w:r>
        <w:rPr>
          <w:rFonts w:ascii="仿宋_GB2312" w:eastAsia="仿宋_GB2312" w:hAnsiTheme="minorHAnsi" w:cstheme="minorBidi" w:hint="eastAsia"/>
          <w:kern w:val="2"/>
          <w:sz w:val="32"/>
          <w:szCs w:val="32"/>
        </w:rPr>
        <w:t>“</w:t>
      </w:r>
      <w:r w:rsidRPr="00995B2C">
        <w:rPr>
          <w:rFonts w:ascii="仿宋_GB2312" w:eastAsia="仿宋_GB2312" w:hAnsiTheme="minorHAnsi" w:cstheme="minorBidi"/>
          <w:kern w:val="2"/>
          <w:sz w:val="32"/>
          <w:szCs w:val="32"/>
        </w:rPr>
        <w:t>事业收入</w:t>
      </w:r>
      <w:r>
        <w:rPr>
          <w:rFonts w:ascii="仿宋_GB2312" w:eastAsia="仿宋_GB2312" w:hAnsiTheme="minorHAnsi" w:cstheme="minorBidi" w:hint="eastAsia"/>
          <w:kern w:val="2"/>
          <w:sz w:val="32"/>
          <w:szCs w:val="32"/>
        </w:rPr>
        <w:t>”</w:t>
      </w:r>
      <w:r w:rsidR="00D27420" w:rsidRPr="00995B2C">
        <w:rPr>
          <w:rFonts w:ascii="仿宋_GB2312" w:eastAsia="仿宋_GB2312" w:hAnsiTheme="minorHAnsi" w:cstheme="minorBidi"/>
          <w:kern w:val="2"/>
          <w:sz w:val="32"/>
          <w:szCs w:val="32"/>
        </w:rPr>
        <w:t>、</w:t>
      </w:r>
      <w:r>
        <w:rPr>
          <w:rFonts w:ascii="仿宋_GB2312" w:eastAsia="仿宋_GB2312" w:hAnsiTheme="minorHAnsi" w:cstheme="minorBidi" w:hint="eastAsia"/>
          <w:kern w:val="2"/>
          <w:sz w:val="32"/>
          <w:szCs w:val="32"/>
        </w:rPr>
        <w:t>“</w:t>
      </w:r>
      <w:r w:rsidRPr="00995B2C">
        <w:rPr>
          <w:rFonts w:ascii="仿宋_GB2312" w:eastAsia="仿宋_GB2312" w:hAnsiTheme="minorHAnsi" w:cstheme="minorBidi"/>
          <w:kern w:val="2"/>
          <w:sz w:val="32"/>
          <w:szCs w:val="32"/>
        </w:rPr>
        <w:t>事业单位经营收入</w:t>
      </w:r>
      <w:r>
        <w:rPr>
          <w:rFonts w:ascii="仿宋_GB2312" w:eastAsia="仿宋_GB2312" w:hAnsiTheme="minorHAnsi" w:cstheme="minorBidi" w:hint="eastAsia"/>
          <w:kern w:val="2"/>
          <w:sz w:val="32"/>
          <w:szCs w:val="32"/>
        </w:rPr>
        <w:t>”</w:t>
      </w:r>
      <w:r w:rsidR="00D27420" w:rsidRPr="00995B2C">
        <w:rPr>
          <w:rFonts w:ascii="仿宋_GB2312" w:eastAsia="仿宋_GB2312" w:hAnsiTheme="minorHAnsi" w:cstheme="minorBidi"/>
          <w:kern w:val="2"/>
          <w:sz w:val="32"/>
          <w:szCs w:val="32"/>
        </w:rPr>
        <w:t>等以外的收入。</w:t>
      </w:r>
    </w:p>
    <w:p w:rsidR="00D62EB9" w:rsidRPr="00995B2C" w:rsidRDefault="00995B2C">
      <w:pPr>
        <w:pStyle w:val="a6"/>
        <w:shd w:val="clear" w:color="auto" w:fill="FFFFFF"/>
        <w:spacing w:before="0" w:beforeAutospacing="0" w:after="0" w:afterAutospacing="0" w:line="600" w:lineRule="exact"/>
        <w:ind w:firstLine="482"/>
        <w:jc w:val="both"/>
        <w:rPr>
          <w:rFonts w:ascii="仿宋_GB2312" w:eastAsia="仿宋_GB2312" w:hAnsiTheme="minorHAnsi" w:cstheme="minorBidi"/>
          <w:kern w:val="2"/>
          <w:sz w:val="32"/>
          <w:szCs w:val="32"/>
        </w:rPr>
      </w:pPr>
      <w:r>
        <w:rPr>
          <w:rFonts w:ascii="仿宋_GB2312" w:eastAsia="仿宋_GB2312" w:hAnsiTheme="minorHAnsi" w:cstheme="minorBidi" w:hint="eastAsia"/>
          <w:kern w:val="2"/>
          <w:sz w:val="32"/>
          <w:szCs w:val="32"/>
        </w:rPr>
        <w:t>（四）</w:t>
      </w:r>
      <w:r w:rsidR="00D27420" w:rsidRPr="00995B2C">
        <w:rPr>
          <w:rFonts w:ascii="仿宋_GB2312" w:eastAsia="仿宋_GB2312" w:hAnsiTheme="minorHAnsi" w:cstheme="minorBidi" w:hint="eastAsia"/>
          <w:kern w:val="2"/>
          <w:sz w:val="32"/>
          <w:szCs w:val="32"/>
        </w:rPr>
        <w:t>年初结转和结余：指以前年度安排、结转到本年仍按原规定用途继续使用的资金</w:t>
      </w:r>
      <w:r w:rsidR="00D27420" w:rsidRPr="00995B2C">
        <w:rPr>
          <w:rFonts w:ascii="仿宋_GB2312" w:eastAsia="仿宋_GB2312" w:hAnsiTheme="minorHAnsi" w:cstheme="minorBidi" w:hint="eastAsia"/>
          <w:kern w:val="2"/>
          <w:sz w:val="32"/>
          <w:szCs w:val="32"/>
        </w:rPr>
        <w:t>。包含财政拨款结转结余、非财政拨款结转、非财政拨款结余及专用结余。</w:t>
      </w:r>
    </w:p>
    <w:p w:rsidR="00D62EB9" w:rsidRPr="00995B2C" w:rsidRDefault="00D27420">
      <w:pPr>
        <w:spacing w:line="600" w:lineRule="exact"/>
        <w:ind w:firstLineChars="200" w:firstLine="640"/>
        <w:rPr>
          <w:rFonts w:ascii="仿宋_GB2312" w:eastAsia="仿宋_GB2312"/>
          <w:sz w:val="32"/>
          <w:szCs w:val="32"/>
        </w:rPr>
      </w:pPr>
      <w:r w:rsidRPr="00995B2C">
        <w:rPr>
          <w:rFonts w:ascii="仿宋_GB2312" w:eastAsia="仿宋_GB2312" w:hint="eastAsia"/>
          <w:sz w:val="32"/>
          <w:szCs w:val="32"/>
        </w:rPr>
        <w:t>二、支出科目</w:t>
      </w:r>
    </w:p>
    <w:p w:rsidR="00D62EB9" w:rsidRDefault="00995B2C">
      <w:pPr>
        <w:spacing w:line="600" w:lineRule="exact"/>
        <w:ind w:firstLineChars="200" w:firstLine="643"/>
        <w:rPr>
          <w:rFonts w:ascii="楷体_GB2312" w:eastAsia="楷体_GB2312"/>
          <w:b/>
          <w:sz w:val="32"/>
          <w:szCs w:val="32"/>
        </w:rPr>
      </w:pPr>
      <w:r>
        <w:rPr>
          <w:rFonts w:ascii="楷体_GB2312" w:eastAsia="楷体_GB2312" w:hint="eastAsia"/>
          <w:b/>
          <w:sz w:val="32"/>
          <w:szCs w:val="32"/>
        </w:rPr>
        <w:t>（一）</w:t>
      </w:r>
      <w:r w:rsidR="00D27420">
        <w:rPr>
          <w:rFonts w:ascii="楷体_GB2312" w:eastAsia="楷体_GB2312" w:hint="eastAsia"/>
          <w:b/>
          <w:sz w:val="32"/>
          <w:szCs w:val="32"/>
        </w:rPr>
        <w:t>社会保障和就业支出（类）：反映政府在社会保障与就业方面的支出。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行政事业单位养老支出（款）：反映用于行政事业单位养老方面的支出。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机关事业单位基本养老保险缴费支出（项）：反映机关事业单位实施养老保险制度由单位缴纳的基本养老保险费支出。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机关事业单位职业年金缴费支出（项）：反映机关事业单位实施养老保险制度由单位实际缴纳的职业年金支出。</w:t>
      </w:r>
    </w:p>
    <w:p w:rsidR="00D62EB9" w:rsidRDefault="00995B2C">
      <w:pPr>
        <w:spacing w:line="600" w:lineRule="exact"/>
        <w:ind w:firstLineChars="200" w:firstLine="643"/>
        <w:rPr>
          <w:rFonts w:ascii="楷体_GB2312" w:eastAsia="楷体_GB2312"/>
          <w:b/>
          <w:sz w:val="32"/>
          <w:szCs w:val="32"/>
        </w:rPr>
      </w:pPr>
      <w:r>
        <w:rPr>
          <w:rFonts w:ascii="楷体_GB2312" w:eastAsia="楷体_GB2312" w:hint="eastAsia"/>
          <w:b/>
          <w:sz w:val="32"/>
          <w:szCs w:val="32"/>
        </w:rPr>
        <w:t>（二）</w:t>
      </w:r>
      <w:r w:rsidR="00D27420">
        <w:rPr>
          <w:rFonts w:ascii="楷体_GB2312" w:eastAsia="楷体_GB2312" w:hint="eastAsia"/>
          <w:b/>
          <w:sz w:val="32"/>
          <w:szCs w:val="32"/>
        </w:rPr>
        <w:t>卫生健康支出（类）：反映政府卫生健康方面的支出。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中医药事务</w:t>
      </w:r>
      <w:r>
        <w:rPr>
          <w:rFonts w:ascii="仿宋_GB2312" w:eastAsia="仿宋_GB2312" w:hint="eastAsia"/>
          <w:sz w:val="32"/>
          <w:szCs w:val="32"/>
        </w:rPr>
        <w:t>（款）：反映</w:t>
      </w:r>
      <w:r>
        <w:rPr>
          <w:rFonts w:ascii="仿宋_GB2312" w:eastAsia="仿宋_GB2312" w:hint="eastAsia"/>
          <w:sz w:val="32"/>
          <w:szCs w:val="32"/>
        </w:rPr>
        <w:t>中医药管理等</w:t>
      </w:r>
      <w:r>
        <w:rPr>
          <w:rFonts w:ascii="仿宋_GB2312" w:eastAsia="仿宋_GB2312" w:hint="eastAsia"/>
          <w:sz w:val="32"/>
          <w:szCs w:val="32"/>
        </w:rPr>
        <w:t>方面的支出。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事业运行</w:t>
      </w:r>
      <w:r>
        <w:rPr>
          <w:rFonts w:ascii="仿宋_GB2312" w:eastAsia="仿宋_GB2312" w:hint="eastAsia"/>
          <w:sz w:val="32"/>
          <w:szCs w:val="32"/>
        </w:rPr>
        <w:t>（项）：</w:t>
      </w:r>
      <w:r>
        <w:rPr>
          <w:rFonts w:ascii="仿宋_GB2312" w:eastAsia="仿宋_GB2312" w:hint="eastAsia"/>
          <w:sz w:val="32"/>
          <w:szCs w:val="32"/>
        </w:rPr>
        <w:t>反映事业单位的基本支出，不包括行政单位（包括实行公务员管理的事业单位）后勤服务中心，医务室等附属事业单位。</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其他中医药支出（项）：反映除</w:t>
      </w:r>
      <w:r>
        <w:rPr>
          <w:rFonts w:ascii="仿宋_GB2312" w:eastAsia="仿宋_GB2312" w:hint="eastAsia"/>
          <w:sz w:val="32"/>
          <w:szCs w:val="32"/>
        </w:rPr>
        <w:t>上述项目以外的其他用于中医药事务方面的支出。</w:t>
      </w:r>
    </w:p>
    <w:p w:rsidR="00D62EB9" w:rsidRDefault="00995B2C">
      <w:pPr>
        <w:spacing w:line="600" w:lineRule="exact"/>
        <w:ind w:firstLineChars="200" w:firstLine="643"/>
        <w:rPr>
          <w:rFonts w:ascii="楷体_GB2312" w:eastAsia="楷体_GB2312"/>
          <w:b/>
          <w:sz w:val="32"/>
          <w:szCs w:val="32"/>
        </w:rPr>
      </w:pPr>
      <w:r>
        <w:rPr>
          <w:rFonts w:ascii="楷体_GB2312" w:eastAsia="楷体_GB2312" w:hint="eastAsia"/>
          <w:b/>
          <w:sz w:val="32"/>
          <w:szCs w:val="32"/>
        </w:rPr>
        <w:t>（三）</w:t>
      </w:r>
      <w:r w:rsidR="00D27420">
        <w:rPr>
          <w:rFonts w:ascii="楷体_GB2312" w:eastAsia="楷体_GB2312" w:hint="eastAsia"/>
          <w:b/>
          <w:sz w:val="32"/>
          <w:szCs w:val="32"/>
        </w:rPr>
        <w:t>住房保障支出（类）：集中反映政府用于住房方面的支出。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住房改革支出（款）：指行政事业单位用财政拨款资金和其他资金等安排的住房改革支出。</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住房公积金（项）：指按照《住房公积金管理条例》的规定，由单位及其在职职工缴存的长期住房储金。该项政策始于上世纪九十年代中期，在全国机关、企事业单位在职职工中普遍实施，缴存比例最低不低于</w:t>
      </w:r>
      <w:r>
        <w:rPr>
          <w:rFonts w:ascii="仿宋_GB2312" w:eastAsia="仿宋_GB2312" w:hint="eastAsia"/>
          <w:sz w:val="32"/>
          <w:szCs w:val="32"/>
        </w:rPr>
        <w:t>5%</w:t>
      </w:r>
      <w:r>
        <w:rPr>
          <w:rFonts w:ascii="仿宋_GB2312" w:eastAsia="仿宋_GB2312" w:hint="eastAsia"/>
          <w:sz w:val="32"/>
          <w:szCs w:val="32"/>
        </w:rPr>
        <w:t>，最高不超过</w:t>
      </w:r>
      <w:r>
        <w:rPr>
          <w:rFonts w:ascii="仿宋_GB2312" w:eastAsia="仿宋_GB2312" w:hint="eastAsia"/>
          <w:sz w:val="32"/>
          <w:szCs w:val="32"/>
        </w:rPr>
        <w:t>12%</w:t>
      </w:r>
      <w:r>
        <w:rPr>
          <w:rFonts w:ascii="仿宋_GB2312" w:eastAsia="仿宋_GB2312" w:hint="eastAsia"/>
          <w:sz w:val="32"/>
          <w:szCs w:val="32"/>
        </w:rPr>
        <w:t>，缴存基数为职工本人上年工资，目前已实施约</w:t>
      </w:r>
      <w:r>
        <w:rPr>
          <w:rFonts w:ascii="仿宋_GB2312" w:eastAsia="仿宋_GB2312" w:hint="eastAsia"/>
          <w:sz w:val="32"/>
          <w:szCs w:val="32"/>
        </w:rPr>
        <w:t>20</w:t>
      </w:r>
      <w:r>
        <w:rPr>
          <w:rFonts w:ascii="仿宋_GB2312" w:eastAsia="仿宋_GB2312"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w:t>
      </w:r>
      <w:r>
        <w:rPr>
          <w:rFonts w:ascii="仿宋_GB2312" w:eastAsia="仿宋_GB2312" w:hint="eastAsia"/>
          <w:sz w:val="32"/>
          <w:szCs w:val="32"/>
        </w:rPr>
        <w:t>;</w:t>
      </w:r>
      <w:r>
        <w:rPr>
          <w:rFonts w:ascii="仿宋_GB2312" w:eastAsia="仿宋_GB2312" w:hint="eastAsia"/>
          <w:sz w:val="32"/>
          <w:szCs w:val="32"/>
        </w:rPr>
        <w:t>事业单位缴存基数包括国家统一规定的岗位工资、薪级工资、绩效工资、艰</w:t>
      </w:r>
      <w:r>
        <w:rPr>
          <w:rFonts w:ascii="仿宋_GB2312" w:eastAsia="仿宋_GB2312" w:hint="eastAsia"/>
          <w:sz w:val="32"/>
          <w:szCs w:val="32"/>
        </w:rPr>
        <w:t>苦边远地区津贴、特殊岗位津贴等。</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提租补贴（项）：指经国务院批准，于</w:t>
      </w:r>
      <w:r>
        <w:rPr>
          <w:rFonts w:ascii="仿宋_GB2312" w:eastAsia="仿宋_GB2312" w:hint="eastAsia"/>
          <w:sz w:val="32"/>
          <w:szCs w:val="32"/>
        </w:rPr>
        <w:t>2000</w:t>
      </w:r>
      <w:r>
        <w:rPr>
          <w:rFonts w:ascii="仿宋_GB2312" w:eastAsia="仿宋_GB2312" w:hint="eastAsia"/>
          <w:sz w:val="32"/>
          <w:szCs w:val="32"/>
        </w:rPr>
        <w:t>年开始针对在京中央单位公有住房租金标准提高发放的补贴，中央在京单位按照在编职工人数和离退休人数以及相应职级的补贴标准确定，人均月补贴</w:t>
      </w:r>
      <w:r>
        <w:rPr>
          <w:rFonts w:ascii="仿宋_GB2312" w:eastAsia="仿宋_GB2312" w:hint="eastAsia"/>
          <w:sz w:val="32"/>
          <w:szCs w:val="32"/>
        </w:rPr>
        <w:t>90</w:t>
      </w:r>
      <w:r>
        <w:rPr>
          <w:rFonts w:ascii="仿宋_GB2312" w:eastAsia="仿宋_GB2312" w:hint="eastAsia"/>
          <w:sz w:val="32"/>
          <w:szCs w:val="32"/>
        </w:rPr>
        <w:t>元。</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购房补贴（项）：指根据《国务院关于进一步深化城镇住房制度改革加快住房建设的通知》</w:t>
      </w:r>
      <w:r>
        <w:rPr>
          <w:rFonts w:ascii="仿宋_GB2312" w:eastAsia="仿宋_GB2312" w:hint="eastAsia"/>
          <w:sz w:val="32"/>
          <w:szCs w:val="32"/>
        </w:rPr>
        <w:t>(</w:t>
      </w:r>
      <w:r>
        <w:rPr>
          <w:rFonts w:ascii="仿宋_GB2312" w:eastAsia="仿宋_GB2312" w:hint="eastAsia"/>
          <w:sz w:val="32"/>
          <w:szCs w:val="32"/>
        </w:rPr>
        <w:t>国发</w:t>
      </w:r>
      <w:r>
        <w:rPr>
          <w:rFonts w:ascii="仿宋_GB2312" w:eastAsia="仿宋_GB2312" w:hAnsi="仿宋" w:cs="仿宋_GB2312" w:hint="eastAsia"/>
          <w:sz w:val="32"/>
          <w:szCs w:val="32"/>
        </w:rPr>
        <w:t>〔</w:t>
      </w:r>
      <w:r>
        <w:rPr>
          <w:rFonts w:ascii="仿宋_GB2312" w:eastAsia="仿宋_GB2312" w:hint="eastAsia"/>
          <w:sz w:val="32"/>
          <w:szCs w:val="32"/>
        </w:rPr>
        <w:t>1998</w:t>
      </w:r>
      <w:r>
        <w:rPr>
          <w:rFonts w:ascii="仿宋_GB2312" w:eastAsia="仿宋_GB2312" w:hAnsi="仿宋" w:cs="仿宋_GB2312" w:hint="eastAsia"/>
          <w:sz w:val="32"/>
          <w:szCs w:val="32"/>
        </w:rPr>
        <w:t>〕</w:t>
      </w:r>
      <w:r>
        <w:rPr>
          <w:rFonts w:ascii="仿宋_GB2312" w:eastAsia="仿宋_GB2312" w:hint="eastAsia"/>
          <w:sz w:val="32"/>
          <w:szCs w:val="32"/>
        </w:rPr>
        <w:t>23</w:t>
      </w:r>
      <w:r>
        <w:rPr>
          <w:rFonts w:ascii="仿宋_GB2312" w:eastAsia="仿宋_GB2312" w:hint="eastAsia"/>
          <w:sz w:val="32"/>
          <w:szCs w:val="32"/>
        </w:rPr>
        <w:t>号</w:t>
      </w:r>
      <w:r>
        <w:rPr>
          <w:rFonts w:ascii="仿宋_GB2312" w:eastAsia="仿宋_GB2312" w:hint="eastAsia"/>
          <w:sz w:val="32"/>
          <w:szCs w:val="32"/>
        </w:rPr>
        <w:t>)</w:t>
      </w:r>
      <w:r>
        <w:rPr>
          <w:rFonts w:ascii="仿宋_GB2312" w:eastAsia="仿宋_GB2312" w:hint="eastAsia"/>
          <w:sz w:val="32"/>
          <w:szCs w:val="32"/>
        </w:rPr>
        <w:t>的规定，从</w:t>
      </w:r>
      <w:r>
        <w:rPr>
          <w:rFonts w:ascii="仿宋_GB2312" w:eastAsia="仿宋_GB2312" w:hint="eastAsia"/>
          <w:sz w:val="32"/>
          <w:szCs w:val="32"/>
        </w:rPr>
        <w:t>1998</w:t>
      </w:r>
      <w:r>
        <w:rPr>
          <w:rFonts w:ascii="仿宋_GB2312" w:eastAsia="仿宋_GB2312" w:hint="eastAsia"/>
          <w:sz w:val="32"/>
          <w:szCs w:val="32"/>
        </w:rPr>
        <w:t>年</w:t>
      </w:r>
      <w:r>
        <w:rPr>
          <w:rFonts w:ascii="仿宋_GB2312" w:eastAsia="仿宋_GB2312" w:hint="eastAsia"/>
          <w:sz w:val="32"/>
          <w:szCs w:val="32"/>
        </w:rPr>
        <w:lastRenderedPageBreak/>
        <w:t>下半年停止实物分房后，房价收入比超过</w:t>
      </w:r>
      <w:r>
        <w:rPr>
          <w:rFonts w:ascii="仿宋_GB2312" w:eastAsia="仿宋_GB2312" w:hint="eastAsia"/>
          <w:sz w:val="32"/>
          <w:szCs w:val="32"/>
        </w:rPr>
        <w:t>4</w:t>
      </w:r>
      <w:r>
        <w:rPr>
          <w:rFonts w:ascii="仿宋_GB2312" w:eastAsia="仿宋_GB2312" w:hint="eastAsia"/>
          <w:sz w:val="32"/>
          <w:szCs w:val="32"/>
        </w:rPr>
        <w:t>倍以上地区对无房和住房未达标职工发放的住房货币化改革补贴资金。中央行政事业单位从</w:t>
      </w:r>
      <w:r>
        <w:rPr>
          <w:rFonts w:ascii="仿宋_GB2312" w:eastAsia="仿宋_GB2312" w:hint="eastAsia"/>
          <w:sz w:val="32"/>
          <w:szCs w:val="32"/>
        </w:rPr>
        <w:t>2000</w:t>
      </w:r>
      <w:r>
        <w:rPr>
          <w:rFonts w:ascii="仿宋_GB2312" w:eastAsia="仿宋_GB2312" w:hint="eastAsia"/>
          <w:sz w:val="32"/>
          <w:szCs w:val="32"/>
        </w:rPr>
        <w:t>年开始发放购房补贴资金，地方行政事业单位从</w:t>
      </w:r>
      <w:r>
        <w:rPr>
          <w:rFonts w:ascii="仿宋_GB2312" w:eastAsia="仿宋_GB2312" w:hint="eastAsia"/>
          <w:sz w:val="32"/>
          <w:szCs w:val="32"/>
        </w:rPr>
        <w:t>1999</w:t>
      </w:r>
      <w:r>
        <w:rPr>
          <w:rFonts w:ascii="仿宋_GB2312" w:eastAsia="仿宋_GB2312" w:hint="eastAsia"/>
          <w:sz w:val="32"/>
          <w:szCs w:val="32"/>
        </w:rPr>
        <w:t>年陆续开始发放购房补贴资金，企业根据本单位情况自行确定。在京中央单位按照《中共中央办公厅</w:t>
      </w:r>
      <w:r>
        <w:rPr>
          <w:rFonts w:ascii="仿宋_GB2312" w:eastAsia="仿宋_GB2312" w:hint="eastAsia"/>
          <w:sz w:val="32"/>
          <w:szCs w:val="32"/>
        </w:rPr>
        <w:t xml:space="preserve"> </w:t>
      </w:r>
      <w:r>
        <w:rPr>
          <w:rFonts w:ascii="仿宋_GB2312" w:eastAsia="仿宋_GB2312" w:hint="eastAsia"/>
          <w:sz w:val="32"/>
          <w:szCs w:val="32"/>
        </w:rPr>
        <w:t>国务院办公厅转发建设部等单位</w:t>
      </w:r>
      <w:r>
        <w:rPr>
          <w:rFonts w:ascii="仿宋_GB2312" w:eastAsia="仿宋_GB2312" w:hint="eastAsia"/>
          <w:sz w:val="32"/>
          <w:szCs w:val="32"/>
        </w:rPr>
        <w:t>&lt;</w:t>
      </w:r>
      <w:r>
        <w:rPr>
          <w:rFonts w:ascii="仿宋_GB2312" w:eastAsia="仿宋_GB2312" w:hint="eastAsia"/>
          <w:sz w:val="32"/>
          <w:szCs w:val="32"/>
        </w:rPr>
        <w:t>关于完善在京中央和国家机关住房制度的若干意见</w:t>
      </w:r>
      <w:r>
        <w:rPr>
          <w:rFonts w:ascii="仿宋_GB2312" w:eastAsia="仿宋_GB2312" w:hint="eastAsia"/>
          <w:sz w:val="32"/>
          <w:szCs w:val="32"/>
        </w:rPr>
        <w:t>&gt;</w:t>
      </w:r>
      <w:r>
        <w:rPr>
          <w:rFonts w:ascii="仿宋_GB2312" w:eastAsia="仿宋_GB2312" w:hint="eastAsia"/>
          <w:sz w:val="32"/>
          <w:szCs w:val="32"/>
        </w:rPr>
        <w:t>的通知》（</w:t>
      </w:r>
      <w:proofErr w:type="gramStart"/>
      <w:r>
        <w:rPr>
          <w:rFonts w:ascii="仿宋_GB2312" w:eastAsia="仿宋_GB2312" w:hint="eastAsia"/>
          <w:sz w:val="32"/>
          <w:szCs w:val="32"/>
        </w:rPr>
        <w:t>厅字</w:t>
      </w:r>
      <w:r>
        <w:rPr>
          <w:rFonts w:ascii="仿宋_GB2312" w:eastAsia="仿宋_GB2312" w:hAnsi="仿宋" w:cs="仿宋_GB2312" w:hint="eastAsia"/>
          <w:sz w:val="32"/>
          <w:szCs w:val="32"/>
        </w:rPr>
        <w:t>〔</w:t>
      </w:r>
      <w:r>
        <w:rPr>
          <w:rFonts w:ascii="仿宋_GB2312" w:eastAsia="仿宋_GB2312" w:hint="eastAsia"/>
          <w:sz w:val="32"/>
          <w:szCs w:val="32"/>
        </w:rPr>
        <w:t>2005</w:t>
      </w:r>
      <w:r>
        <w:rPr>
          <w:rFonts w:ascii="仿宋_GB2312" w:eastAsia="仿宋_GB2312" w:hAnsi="仿宋" w:cs="仿宋_GB2312" w:hint="eastAsia"/>
          <w:sz w:val="32"/>
          <w:szCs w:val="32"/>
        </w:rPr>
        <w:t>〕</w:t>
      </w:r>
      <w:proofErr w:type="gramEnd"/>
      <w:r>
        <w:rPr>
          <w:rFonts w:ascii="仿宋_GB2312" w:eastAsia="仿宋_GB2312" w:hint="eastAsia"/>
          <w:sz w:val="32"/>
          <w:szCs w:val="32"/>
        </w:rPr>
        <w:t>8</w:t>
      </w:r>
      <w:r>
        <w:rPr>
          <w:rFonts w:ascii="仿宋_GB2312" w:eastAsia="仿宋_GB2312" w:hint="eastAsia"/>
          <w:sz w:val="32"/>
          <w:szCs w:val="32"/>
        </w:rPr>
        <w:t>号）规定的标准执行，京外中央单位按照所在地人民政府住房分配货币化改革的政策规定和标准执行。</w:t>
      </w:r>
    </w:p>
    <w:p w:rsidR="00D62EB9" w:rsidRDefault="00D27420">
      <w:pPr>
        <w:spacing w:line="600" w:lineRule="exact"/>
        <w:ind w:firstLineChars="200" w:firstLine="640"/>
        <w:rPr>
          <w:rFonts w:ascii="黑体" w:eastAsia="黑体" w:hAnsi="黑体"/>
          <w:bCs/>
          <w:sz w:val="32"/>
          <w:szCs w:val="32"/>
        </w:rPr>
      </w:pPr>
      <w:r>
        <w:rPr>
          <w:rFonts w:ascii="黑体" w:eastAsia="黑体" w:hAnsi="黑体" w:hint="eastAsia"/>
          <w:bCs/>
          <w:sz w:val="32"/>
          <w:szCs w:val="32"/>
        </w:rPr>
        <w:t>三、“三公”经费</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纳入国家中医药管理局预算管理的“三公”经费主要指国家中医药管理局用财政拨款安排的因公出国（境）费、公务用车购置及运行费和公务接待费。其中</w:t>
      </w:r>
      <w:r>
        <w:rPr>
          <w:rFonts w:ascii="仿宋_GB2312" w:eastAsia="仿宋_GB2312" w:hint="eastAsia"/>
          <w:sz w:val="32"/>
          <w:szCs w:val="32"/>
        </w:rPr>
        <w:t>:</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因公出国（境）</w:t>
      </w:r>
      <w:proofErr w:type="gramStart"/>
      <w:r>
        <w:rPr>
          <w:rFonts w:ascii="仿宋_GB2312" w:eastAsia="仿宋_GB2312" w:hint="eastAsia"/>
          <w:sz w:val="32"/>
          <w:szCs w:val="32"/>
        </w:rPr>
        <w:t>费反映</w:t>
      </w:r>
      <w:proofErr w:type="gramEnd"/>
      <w:r>
        <w:rPr>
          <w:rFonts w:ascii="仿宋_GB2312" w:eastAsia="仿宋_GB2312" w:hint="eastAsia"/>
          <w:sz w:val="32"/>
          <w:szCs w:val="32"/>
        </w:rPr>
        <w:t>单位公务出国（境）的住宿费、旅费、伙食补</w:t>
      </w:r>
      <w:r>
        <w:rPr>
          <w:rFonts w:ascii="仿宋_GB2312" w:eastAsia="仿宋_GB2312" w:hint="eastAsia"/>
          <w:sz w:val="32"/>
          <w:szCs w:val="32"/>
        </w:rPr>
        <w:t>助费、杂费、培训费等支出</w:t>
      </w:r>
      <w:r>
        <w:rPr>
          <w:rFonts w:ascii="仿宋_GB2312" w:eastAsia="仿宋_GB2312" w:hint="eastAsia"/>
          <w:sz w:val="32"/>
          <w:szCs w:val="32"/>
        </w:rPr>
        <w:t>;</w:t>
      </w:r>
    </w:p>
    <w:p w:rsidR="00D62EB9" w:rsidRDefault="00D27420">
      <w:pPr>
        <w:spacing w:line="600" w:lineRule="exact"/>
        <w:ind w:firstLineChars="200" w:firstLine="640"/>
        <w:rPr>
          <w:rFonts w:ascii="仿宋_GB2312" w:eastAsia="仿宋_GB2312"/>
          <w:sz w:val="32"/>
          <w:szCs w:val="32"/>
        </w:rPr>
      </w:pPr>
      <w:r>
        <w:rPr>
          <w:rFonts w:ascii="仿宋_GB2312" w:eastAsia="仿宋_GB2312" w:hint="eastAsia"/>
          <w:sz w:val="32"/>
          <w:szCs w:val="32"/>
        </w:rPr>
        <w:t>公务用车购置及运行</w:t>
      </w:r>
      <w:proofErr w:type="gramStart"/>
      <w:r>
        <w:rPr>
          <w:rFonts w:ascii="仿宋_GB2312" w:eastAsia="仿宋_GB2312" w:hint="eastAsia"/>
          <w:sz w:val="32"/>
          <w:szCs w:val="32"/>
        </w:rPr>
        <w:t>费反映</w:t>
      </w:r>
      <w:proofErr w:type="gramEnd"/>
      <w:r>
        <w:rPr>
          <w:rFonts w:ascii="仿宋_GB2312" w:eastAsia="仿宋_GB2312" w:hint="eastAsia"/>
          <w:sz w:val="32"/>
          <w:szCs w:val="32"/>
        </w:rPr>
        <w:t>单位公务用车购置费及租用费、燃料费、维修费、过路过桥费、保险费、安全奖励费用等支出</w:t>
      </w:r>
      <w:r>
        <w:rPr>
          <w:rFonts w:ascii="仿宋_GB2312" w:eastAsia="仿宋_GB2312" w:hint="eastAsia"/>
          <w:sz w:val="32"/>
          <w:szCs w:val="32"/>
        </w:rPr>
        <w:t>;</w:t>
      </w:r>
    </w:p>
    <w:p w:rsidR="00D62EB9" w:rsidRDefault="00D27420">
      <w:pPr>
        <w:spacing w:line="600" w:lineRule="exact"/>
        <w:ind w:firstLineChars="200" w:firstLine="640"/>
      </w:pPr>
      <w:r>
        <w:rPr>
          <w:rFonts w:ascii="仿宋_GB2312" w:eastAsia="仿宋_GB2312" w:hint="eastAsia"/>
          <w:sz w:val="32"/>
          <w:szCs w:val="32"/>
        </w:rPr>
        <w:t>公务接待</w:t>
      </w:r>
      <w:proofErr w:type="gramStart"/>
      <w:r>
        <w:rPr>
          <w:rFonts w:ascii="仿宋_GB2312" w:eastAsia="仿宋_GB2312" w:hint="eastAsia"/>
          <w:sz w:val="32"/>
          <w:szCs w:val="32"/>
        </w:rPr>
        <w:t>费反</w:t>
      </w:r>
      <w:bookmarkStart w:id="4" w:name="OLE_LINK1"/>
      <w:bookmarkStart w:id="5" w:name="OLE_LINK2"/>
      <w:bookmarkStart w:id="6" w:name="OLE_LINK4"/>
      <w:bookmarkStart w:id="7" w:name="OLE_LINK3"/>
      <w:r>
        <w:rPr>
          <w:rFonts w:ascii="仿宋_GB2312" w:eastAsia="仿宋_GB2312" w:hint="eastAsia"/>
          <w:sz w:val="32"/>
          <w:szCs w:val="32"/>
        </w:rPr>
        <w:t>映</w:t>
      </w:r>
      <w:proofErr w:type="gramEnd"/>
      <w:r>
        <w:rPr>
          <w:rFonts w:ascii="仿宋_GB2312" w:eastAsia="仿宋_GB2312" w:hint="eastAsia"/>
          <w:sz w:val="32"/>
          <w:szCs w:val="32"/>
        </w:rPr>
        <w:t>单位按规</w:t>
      </w:r>
      <w:bookmarkEnd w:id="4"/>
      <w:bookmarkEnd w:id="5"/>
      <w:r>
        <w:rPr>
          <w:rFonts w:ascii="仿宋_GB2312" w:eastAsia="仿宋_GB2312" w:hint="eastAsia"/>
          <w:sz w:val="32"/>
          <w:szCs w:val="32"/>
        </w:rPr>
        <w:t>定</w:t>
      </w:r>
      <w:bookmarkEnd w:id="6"/>
      <w:bookmarkEnd w:id="7"/>
      <w:r>
        <w:rPr>
          <w:rFonts w:ascii="仿宋_GB2312" w:eastAsia="仿宋_GB2312" w:hint="eastAsia"/>
          <w:sz w:val="32"/>
          <w:szCs w:val="32"/>
        </w:rPr>
        <w:t>开支的各类公务接待（含外宾接待）支出。</w:t>
      </w:r>
    </w:p>
    <w:sectPr w:rsidR="00D62EB9">
      <w:footerReference w:type="default" r:id="rId13"/>
      <w:pgSz w:w="11906" w:h="16838"/>
      <w:pgMar w:top="1440" w:right="1134" w:bottom="1440" w:left="113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420" w:rsidRDefault="00D27420">
      <w:r>
        <w:separator/>
      </w:r>
    </w:p>
  </w:endnote>
  <w:endnote w:type="continuationSeparator" w:id="0">
    <w:p w:rsidR="00D27420" w:rsidRDefault="00D27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公文小标宋">
    <w:panose1 w:val="02000500000000000000"/>
    <w:charset w:val="86"/>
    <w:family w:val="auto"/>
    <w:pitch w:val="variable"/>
    <w:sig w:usb0="A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fangsong_GB2312">
    <w:altName w:val="Segoe Print"/>
    <w:panose1 w:val="02010609060101010101"/>
    <w:charset w:val="00"/>
    <w:family w:val="roman"/>
    <w:pitch w:val="default"/>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94569"/>
    </w:sdtPr>
    <w:sdtEndPr>
      <w:rPr>
        <w:rFonts w:ascii="仿宋_GB2312" w:eastAsia="仿宋_GB2312" w:hint="eastAsia"/>
        <w:sz w:val="32"/>
        <w:szCs w:val="32"/>
      </w:rPr>
    </w:sdtEndPr>
    <w:sdtContent>
      <w:p w:rsidR="00D62EB9" w:rsidRDefault="00D27420">
        <w:pPr>
          <w:pStyle w:val="a4"/>
          <w:jc w:val="center"/>
          <w:rPr>
            <w:rFonts w:ascii="仿宋_GB2312" w:eastAsia="仿宋_GB2312"/>
            <w:sz w:val="32"/>
            <w:szCs w:val="32"/>
          </w:rPr>
        </w:pPr>
        <w:r>
          <w:rPr>
            <w:rFonts w:ascii="仿宋_GB2312" w:eastAsia="仿宋_GB2312" w:hint="eastAsia"/>
            <w:sz w:val="32"/>
            <w:szCs w:val="32"/>
          </w:rPr>
          <w:fldChar w:fldCharType="begin"/>
        </w:r>
        <w:r>
          <w:rPr>
            <w:rFonts w:ascii="仿宋_GB2312" w:eastAsia="仿宋_GB2312" w:hint="eastAsia"/>
            <w:sz w:val="32"/>
            <w:szCs w:val="32"/>
          </w:rPr>
          <w:instrText>PAGE   \* MERGEFORMAT</w:instrText>
        </w:r>
        <w:r>
          <w:rPr>
            <w:rFonts w:ascii="仿宋_GB2312" w:eastAsia="仿宋_GB2312" w:hint="eastAsia"/>
            <w:sz w:val="32"/>
            <w:szCs w:val="32"/>
          </w:rPr>
          <w:fldChar w:fldCharType="separate"/>
        </w:r>
        <w:r w:rsidR="00995B2C" w:rsidRPr="00995B2C">
          <w:rPr>
            <w:rFonts w:ascii="仿宋_GB2312" w:eastAsia="仿宋_GB2312"/>
            <w:noProof/>
            <w:sz w:val="32"/>
            <w:szCs w:val="32"/>
            <w:lang w:val="zh-CN"/>
          </w:rPr>
          <w:t>-</w:t>
        </w:r>
        <w:r w:rsidR="00995B2C">
          <w:rPr>
            <w:rFonts w:ascii="仿宋_GB2312" w:eastAsia="仿宋_GB2312"/>
            <w:noProof/>
            <w:sz w:val="32"/>
            <w:szCs w:val="32"/>
          </w:rPr>
          <w:t xml:space="preserve"> 25 -</w:t>
        </w:r>
        <w:r>
          <w:rPr>
            <w:rFonts w:ascii="仿宋_GB2312" w:eastAsia="仿宋_GB2312" w:hint="eastAsia"/>
            <w:sz w:val="32"/>
            <w:szCs w:val="32"/>
          </w:rPr>
          <w:fldChar w:fldCharType="end"/>
        </w:r>
      </w:p>
    </w:sdtContent>
  </w:sdt>
  <w:p w:rsidR="00D62EB9" w:rsidRDefault="00D62EB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420" w:rsidRDefault="00D27420">
      <w:r>
        <w:separator/>
      </w:r>
    </w:p>
  </w:footnote>
  <w:footnote w:type="continuationSeparator" w:id="0">
    <w:p w:rsidR="00D27420" w:rsidRDefault="00D27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02460"/>
    <w:multiLevelType w:val="multilevel"/>
    <w:tmpl w:val="1E502460"/>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1">
    <w:nsid w:val="2780C6E0"/>
    <w:multiLevelType w:val="singleLevel"/>
    <w:tmpl w:val="2780C6E0"/>
    <w:lvl w:ilvl="0">
      <w:start w:val="1"/>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937"/>
    <w:rsid w:val="0001643F"/>
    <w:rsid w:val="00055AB7"/>
    <w:rsid w:val="000D382B"/>
    <w:rsid w:val="000D4A6D"/>
    <w:rsid w:val="000E4519"/>
    <w:rsid w:val="001031CE"/>
    <w:rsid w:val="00142F9E"/>
    <w:rsid w:val="00145E1F"/>
    <w:rsid w:val="00162BC3"/>
    <w:rsid w:val="00174D84"/>
    <w:rsid w:val="00192C13"/>
    <w:rsid w:val="001F7DBD"/>
    <w:rsid w:val="002A4076"/>
    <w:rsid w:val="002C1BEA"/>
    <w:rsid w:val="002E6952"/>
    <w:rsid w:val="003B36C7"/>
    <w:rsid w:val="003E0244"/>
    <w:rsid w:val="003F5F27"/>
    <w:rsid w:val="00436F9E"/>
    <w:rsid w:val="004601BA"/>
    <w:rsid w:val="004614F8"/>
    <w:rsid w:val="00481B9F"/>
    <w:rsid w:val="004A5490"/>
    <w:rsid w:val="004C64F5"/>
    <w:rsid w:val="004D3EEE"/>
    <w:rsid w:val="004F32ED"/>
    <w:rsid w:val="00506AC9"/>
    <w:rsid w:val="005238E7"/>
    <w:rsid w:val="005360E0"/>
    <w:rsid w:val="005410D6"/>
    <w:rsid w:val="00554F16"/>
    <w:rsid w:val="00564123"/>
    <w:rsid w:val="00567C0B"/>
    <w:rsid w:val="005A428E"/>
    <w:rsid w:val="005B24F6"/>
    <w:rsid w:val="00626BDA"/>
    <w:rsid w:val="00631117"/>
    <w:rsid w:val="006352E9"/>
    <w:rsid w:val="0064288C"/>
    <w:rsid w:val="00652D19"/>
    <w:rsid w:val="006640FA"/>
    <w:rsid w:val="006A6D4C"/>
    <w:rsid w:val="006E2EE6"/>
    <w:rsid w:val="006F772E"/>
    <w:rsid w:val="007B75F0"/>
    <w:rsid w:val="007E6F6A"/>
    <w:rsid w:val="00802610"/>
    <w:rsid w:val="008749A8"/>
    <w:rsid w:val="008944F1"/>
    <w:rsid w:val="008C054C"/>
    <w:rsid w:val="008C6D97"/>
    <w:rsid w:val="00950CBD"/>
    <w:rsid w:val="00995B2C"/>
    <w:rsid w:val="009A27AD"/>
    <w:rsid w:val="009C0E52"/>
    <w:rsid w:val="009C1985"/>
    <w:rsid w:val="009C6CEB"/>
    <w:rsid w:val="009D248A"/>
    <w:rsid w:val="009F43FE"/>
    <w:rsid w:val="009F5C5D"/>
    <w:rsid w:val="00A13C39"/>
    <w:rsid w:val="00A86C49"/>
    <w:rsid w:val="00AA7DF3"/>
    <w:rsid w:val="00AC1226"/>
    <w:rsid w:val="00B1181C"/>
    <w:rsid w:val="00B577F7"/>
    <w:rsid w:val="00B72B09"/>
    <w:rsid w:val="00B80DDF"/>
    <w:rsid w:val="00BC4754"/>
    <w:rsid w:val="00BD50AD"/>
    <w:rsid w:val="00BD543E"/>
    <w:rsid w:val="00C15F0D"/>
    <w:rsid w:val="00C518DA"/>
    <w:rsid w:val="00C83DFA"/>
    <w:rsid w:val="00CA4341"/>
    <w:rsid w:val="00D27420"/>
    <w:rsid w:val="00D546AF"/>
    <w:rsid w:val="00D62EB9"/>
    <w:rsid w:val="00D87D43"/>
    <w:rsid w:val="00D96294"/>
    <w:rsid w:val="00DA6937"/>
    <w:rsid w:val="00DB6754"/>
    <w:rsid w:val="00E02EE8"/>
    <w:rsid w:val="00E24398"/>
    <w:rsid w:val="00E51A29"/>
    <w:rsid w:val="00E807D1"/>
    <w:rsid w:val="00EA619A"/>
    <w:rsid w:val="00EC06C2"/>
    <w:rsid w:val="00EC5E8E"/>
    <w:rsid w:val="00EC7605"/>
    <w:rsid w:val="00EF5076"/>
    <w:rsid w:val="00F07F90"/>
    <w:rsid w:val="00F16396"/>
    <w:rsid w:val="00F41A1F"/>
    <w:rsid w:val="00FA0014"/>
    <w:rsid w:val="00FD75B2"/>
    <w:rsid w:val="040E27E3"/>
    <w:rsid w:val="079E79DA"/>
    <w:rsid w:val="09344FF2"/>
    <w:rsid w:val="0ADA4CA6"/>
    <w:rsid w:val="168B140C"/>
    <w:rsid w:val="185C0D40"/>
    <w:rsid w:val="1B5E40EF"/>
    <w:rsid w:val="20ED3B94"/>
    <w:rsid w:val="227F6529"/>
    <w:rsid w:val="233A4603"/>
    <w:rsid w:val="419E199D"/>
    <w:rsid w:val="480A63EB"/>
    <w:rsid w:val="50C75416"/>
    <w:rsid w:val="512B513A"/>
    <w:rsid w:val="53CD5673"/>
    <w:rsid w:val="59DF76D7"/>
    <w:rsid w:val="5D94293A"/>
    <w:rsid w:val="62B32B7E"/>
    <w:rsid w:val="631D47AB"/>
    <w:rsid w:val="6EE60768"/>
    <w:rsid w:val="75D96D69"/>
    <w:rsid w:val="77F04406"/>
    <w:rsid w:val="78727511"/>
    <w:rsid w:val="78A2177A"/>
    <w:rsid w:val="790102A9"/>
    <w:rsid w:val="7D627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styleId="a8">
    <w:name w:val="Hyperlink"/>
    <w:basedOn w:val="a0"/>
    <w:uiPriority w:val="99"/>
    <w:semiHidden/>
    <w:unhideWhenUsed/>
    <w:qFormat/>
    <w:rPr>
      <w:color w:val="0000FF"/>
      <w:u w:val="single"/>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styleId="a8">
    <w:name w:val="Hyperlink"/>
    <w:basedOn w:val="a0"/>
    <w:uiPriority w:val="99"/>
    <w:semiHidden/>
    <w:unhideWhenUsed/>
    <w:qFormat/>
    <w:rPr>
      <w:color w:val="0000FF"/>
      <w:u w:val="single"/>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character" w:customStyle="1" w:styleId="Char1">
    <w:name w:val="页眉 Char"/>
    <w:basedOn w:val="a0"/>
    <w:link w:val="a5"/>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2&#12289;&#37096;&#38376;&#20915;&#31639;----&#32534;&#21046;&#12289;&#20844;&#24320;\&#20915;&#31639;&#20844;&#24320;\8600160212--&#22269;&#23478;&#20013;&#21307;&#33647;&#21338;&#29289;&#39302;(17)%20-%20&#21103;&#264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12289;&#37096;&#38376;&#20915;&#31639;----&#32534;&#21046;&#12289;&#20844;&#24320;\&#20915;&#31639;&#20844;&#24320;\8600160212--&#22269;&#23478;&#20013;&#21307;&#33647;&#21338;&#29289;&#39302;(17)%20-%20&#21103;&#264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80" b="1" i="0" u="none" strike="noStrike" kern="1200" baseline="0">
                <a:solidFill>
                  <a:schemeClr val="tx1">
                    <a:lumMod val="75000"/>
                    <a:lumOff val="25000"/>
                  </a:schemeClr>
                </a:solidFill>
                <a:latin typeface="+mn-lt"/>
                <a:ea typeface="+mn-ea"/>
                <a:cs typeface="+mn-cs"/>
              </a:defRPr>
            </a:pPr>
            <a:r>
              <a:rPr lang="en-US" altLang="zh-CN" sz="1600" b="1"/>
              <a:t>2025</a:t>
            </a:r>
            <a:r>
              <a:rPr lang="zh-CN" altLang="en-US" sz="1600" b="1"/>
              <a:t>年收入结构图</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76200" dist="25400" dir="2700000" algn="tl" rotWithShape="0">
                  <a:schemeClr val="accent1">
                    <a:lumMod val="50000"/>
                    <a:alpha val="30000"/>
                  </a:schemeClr>
                </a:outerShdw>
              </a:effectLst>
            </c:spPr>
          </c:dPt>
          <c:dPt>
            <c:idx val="1"/>
            <c:bubble3D val="0"/>
            <c:spPr>
              <a:solidFill>
                <a:schemeClr val="accent2"/>
              </a:solidFill>
              <a:ln>
                <a:noFill/>
              </a:ln>
              <a:effectLst>
                <a:outerShdw blurRad="76200" dist="25400" dir="2700000" algn="tl" rotWithShape="0">
                  <a:schemeClr val="accent2">
                    <a:lumMod val="50000"/>
                    <a:alpha val="30000"/>
                  </a:schemeClr>
                </a:outerShdw>
              </a:effectLst>
            </c:spPr>
          </c:dPt>
          <c:dPt>
            <c:idx val="2"/>
            <c:bubble3D val="0"/>
            <c:spPr>
              <a:solidFill>
                <a:schemeClr val="accent3"/>
              </a:solidFill>
              <a:ln>
                <a:noFill/>
              </a:ln>
              <a:effectLst>
                <a:outerShdw blurRad="76200" dist="25400" dir="2700000" algn="tl" rotWithShape="0">
                  <a:schemeClr val="accent3">
                    <a:lumMod val="50000"/>
                    <a:alpha val="30000"/>
                  </a:schemeClr>
                </a:outerShdw>
              </a:effectLst>
            </c:spPr>
          </c:dPt>
          <c:dPt>
            <c:idx val="3"/>
            <c:bubble3D val="0"/>
            <c:spPr>
              <a:solidFill>
                <a:schemeClr val="accent4"/>
              </a:solidFill>
              <a:ln>
                <a:noFill/>
              </a:ln>
              <a:effectLst>
                <a:outerShdw blurRad="76200" dist="25400" dir="2700000" algn="tl" rotWithShape="0">
                  <a:schemeClr val="accent4">
                    <a:lumMod val="50000"/>
                    <a:alpha val="30000"/>
                  </a:schemeClr>
                </a:outerShdw>
              </a:effectLst>
            </c:spPr>
          </c:dPt>
          <c:dLbls>
            <c:dLbl>
              <c:idx val="0"/>
              <c:layout>
                <c:manualLayout>
                  <c:x val="-0.152637946712737"/>
                  <c:y val="-0.12539594338957999"/>
                </c:manualLayout>
              </c:layout>
              <c:dLblPos val="bestFit"/>
              <c:showLegendKey val="0"/>
              <c:showVal val="0"/>
              <c:showCatName val="0"/>
              <c:showSerName val="0"/>
              <c:showPercent val="1"/>
              <c:showBubbleSize val="0"/>
              <c:separator>
</c:separator>
              <c:extLst>
                <c:ext xmlns:c15="http://schemas.microsoft.com/office/drawing/2012/chart" uri="{CE6537A1-D6FC-4f65-9D91-7224C49458BB}">
                  <c15:layout/>
                </c:ext>
              </c:extLst>
            </c:dLbl>
            <c:dLbl>
              <c:idx val="1"/>
              <c:layout>
                <c:manualLayout>
                  <c:x val="0"/>
                  <c:y val="0.13995002821616501"/>
                </c:manualLayout>
              </c:layout>
              <c:dLblPos val="bestFit"/>
              <c:showLegendKey val="0"/>
              <c:showVal val="0"/>
              <c:showCatName val="0"/>
              <c:showSerName val="0"/>
              <c:showPercent val="1"/>
              <c:showBubbleSize val="0"/>
              <c:separator>
</c:separator>
              <c:extLst>
                <c:ext xmlns:c15="http://schemas.microsoft.com/office/drawing/2012/chart" uri="{CE6537A1-D6FC-4f65-9D91-7224C49458BB}">
                  <c15:layout/>
                </c:ext>
              </c:extLst>
            </c:dLbl>
            <c:dLbl>
              <c:idx val="2"/>
              <c:layout>
                <c:manualLayout>
                  <c:x val="0"/>
                  <c:y val="-9.8840033495332602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15:layout/>
                </c:ext>
              </c:extLst>
            </c:dLbl>
            <c:dLbl>
              <c:idx val="3"/>
              <c:layout>
                <c:manualLayout>
                  <c:x val="1.36725397649663E-2"/>
                  <c:y val="-0.13273985234559599"/>
                </c:manualLayout>
              </c:layout>
              <c:dLblPos val="bestFit"/>
              <c:showLegendKey val="0"/>
              <c:showVal val="0"/>
              <c:showCatName val="0"/>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dLblPos val="inEnd"/>
            <c:showLegendKey val="0"/>
            <c:showVal val="0"/>
            <c:showCatName val="0"/>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'[8600160212--国家中医药博物馆(17) - 副本.xlsx]PF01-收入支出决算批复表'!$I$10:$I$13</c:f>
              <c:strCache>
                <c:ptCount val="4"/>
                <c:pt idx="0">
                  <c:v>1、一般公共预算财政拨款收入</c:v>
                </c:pt>
                <c:pt idx="1">
                  <c:v>2、事业收入</c:v>
                </c:pt>
                <c:pt idx="2">
                  <c:v>3、其他收入</c:v>
                </c:pt>
                <c:pt idx="3">
                  <c:v>4、年初结转和结余</c:v>
                </c:pt>
              </c:strCache>
            </c:strRef>
          </c:cat>
          <c:val>
            <c:numRef>
              <c:f>'[8600160212--国家中医药博物馆(17) - 副本.xlsx]PF01-收入支出决算批复表'!$J$10:$J$13</c:f>
              <c:numCache>
                <c:formatCode>General</c:formatCode>
                <c:ptCount val="4"/>
                <c:pt idx="0" formatCode="#,##0.00">
                  <c:v>2331.38</c:v>
                </c:pt>
                <c:pt idx="1">
                  <c:v>253</c:v>
                </c:pt>
                <c:pt idx="2">
                  <c:v>58.05</c:v>
                </c:pt>
                <c:pt idx="3">
                  <c:v>249.03</c:v>
                </c:pt>
              </c:numCache>
            </c:numRef>
          </c:val>
        </c:ser>
        <c:dLbls>
          <c:showLegendKey val="0"/>
          <c:showVal val="1"/>
          <c:showCatName val="0"/>
          <c:showSerName val="0"/>
          <c:showPercent val="0"/>
          <c:showBubbleSize val="0"/>
          <c:showLeaderLines val="1"/>
        </c:dLbls>
        <c:firstSliceAng val="313"/>
      </c:pieChart>
      <c:spPr>
        <a:noFill/>
        <a:ln>
          <a:noFill/>
        </a:ln>
        <a:effectLst/>
      </c:spPr>
    </c:plotArea>
    <c:legend>
      <c:legendPos val="r"/>
      <c:legendEntry>
        <c:idx val="0"/>
        <c:txPr>
          <a:bodyPr rot="0" spcFirstLastPara="0" vertOverflow="ellipsis" vert="horz" wrap="square"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95000"/>
                  <a:lumOff val="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d3071be9-79e3-4958-9714-b6700090c3d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900" b="1"/>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600" b="1"/>
              <a:t>2025</a:t>
            </a:r>
            <a:r>
              <a:rPr lang="zh-CN" altLang="en-US" sz="1600" b="1"/>
              <a:t>年支出结构图</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Lbls>
            <c:dLbl>
              <c:idx val="0"/>
              <c:layout>
                <c:manualLayout>
                  <c:x val="-3.1255686789151402E-2"/>
                  <c:y val="-3.95672936716243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3661723534558201"/>
                  <c:y val="-8.84394138232720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4.4354549431321097E-2"/>
                  <c:y val="2.44531933508310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6.3718941382327199E-2"/>
                  <c:y val="-4.2341790609507102E-2"/>
                </c:manualLayout>
              </c:layout>
              <c:tx>
                <c:rich>
                  <a:bodyPr/>
                  <a:lstStyle/>
                  <a:p>
                    <a:r>
                      <a:rPr lang="en-US" altLang="zh-CN"/>
                      <a:t>4.11%</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2.0156058617672799E-2"/>
                  <c:y val="-7.419473607465730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'[8600160212--国家中医药博物馆(17) - 副本.xlsx]PF03-支出决算批复表'!$L$11:$L$15</c:f>
              <c:strCache>
                <c:ptCount val="5"/>
                <c:pt idx="0">
                  <c:v>1、社会保障和就业支出</c:v>
                </c:pt>
                <c:pt idx="1">
                  <c:v>2、卫生健康支出</c:v>
                </c:pt>
                <c:pt idx="2">
                  <c:v>3、住房保障支出</c:v>
                </c:pt>
                <c:pt idx="3">
                  <c:v>4、结余分配</c:v>
                </c:pt>
                <c:pt idx="4">
                  <c:v>5、年末结转和结余</c:v>
                </c:pt>
              </c:strCache>
            </c:strRef>
          </c:cat>
          <c:val>
            <c:numRef>
              <c:f>'[8600160212--国家中医药博物馆(17) - 副本.xlsx]PF03-支出决算批复表'!$M$11:$M$15</c:f>
              <c:numCache>
                <c:formatCode>#,##0.00_ </c:formatCode>
                <c:ptCount val="5"/>
                <c:pt idx="0">
                  <c:v>96.94</c:v>
                </c:pt>
                <c:pt idx="1">
                  <c:v>2191.58</c:v>
                </c:pt>
                <c:pt idx="2">
                  <c:v>102.01</c:v>
                </c:pt>
                <c:pt idx="3" formatCode="General">
                  <c:v>118.68</c:v>
                </c:pt>
                <c:pt idx="4" formatCode="General">
                  <c:v>382.25</c:v>
                </c:pt>
              </c:numCache>
            </c:numRef>
          </c:val>
        </c:ser>
        <c:dLbls>
          <c:showLegendKey val="0"/>
          <c:showVal val="0"/>
          <c:showCatName val="0"/>
          <c:showSerName val="0"/>
          <c:showPercent val="1"/>
          <c:showBubbleSize val="0"/>
          <c:showLeaderLines val="1"/>
        </c:dLbls>
        <c:firstSliceAng val="306"/>
      </c:pieChart>
      <c:spPr>
        <a:noFill/>
        <a:ln>
          <a:noFill/>
        </a:ln>
        <a:effectLst/>
      </c:spPr>
    </c:plotArea>
    <c:legend>
      <c:legendPos val="r"/>
      <c:legendEntry>
        <c:idx val="0"/>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4c8ad74c-c4fd-491b-987a-a50dc2db1a4f}"/>
      </c:ext>
    </c:extLst>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b="1"/>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25</Pages>
  <Words>1615</Words>
  <Characters>9212</Characters>
  <Application>Microsoft Office Word</Application>
  <DocSecurity>0</DocSecurity>
  <Lines>76</Lines>
  <Paragraphs>21</Paragraphs>
  <ScaleCrop>false</ScaleCrop>
  <Company>HP Inc.</Company>
  <LinksUpToDate>false</LinksUpToDate>
  <CharactersWithSpaces>10806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一切顺利</dc:creator>
  <cp:lastModifiedBy>一切顺利</cp:lastModifiedBy>
  <cp:revision>60</cp:revision>
  <cp:lastPrinted>2025-08-15T09:03:00Z</cp:lastPrinted>
  <dcterms:created xsi:type="dcterms:W3CDTF">2023-08-02T06:24:00Z</dcterms:created>
  <dcterms:modified xsi:type="dcterms:W3CDTF">2026-07-31T07:06:00Z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F5F7F99978524265A177D3906F716C91</vt:lpwstr>
  </property>
  <property fmtid="{D5CDD505-2E9C-101B-9397-08002B2CF9AE}" pid="4" name="KSOTemplateDocerSaveRecord">
    <vt:lpwstr>eyJoZGlkIjoiYTQzYjljOTY2OTNkM2E3OWJhY2NlZTM4NjAzYTk4M2QiLCJ1c2VySWQiOiIxODMwMjUyOTMwIn0=</vt:lpwstr>
  </property>
</Properties>
</file>